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r>
        <w:t>方正证券股份有限公司</w:t>
      </w:r>
    </w:p>
    <w:p>
      <w:pPr>
        <w:spacing w:before="215"/>
        <w:ind w:left="1985" w:right="2080"/>
        <w:jc w:val="center"/>
        <w:rPr>
          <w:b/>
          <w:sz w:val="32"/>
        </w:rPr>
      </w:pPr>
      <w:r>
        <w:rPr>
          <w:b/>
          <w:sz w:val="32"/>
        </w:rPr>
        <w:t>上海证券交易所风险警示股票交易风险揭示书</w:t>
      </w:r>
    </w:p>
    <w:p>
      <w:pPr>
        <w:pStyle w:val="4"/>
        <w:spacing w:before="8"/>
        <w:ind w:left="0"/>
        <w:rPr>
          <w:b/>
          <w:sz w:val="39"/>
        </w:rPr>
      </w:pPr>
    </w:p>
    <w:p>
      <w:pPr>
        <w:pStyle w:val="4"/>
        <w:spacing w:before="1" w:line="360" w:lineRule="auto"/>
        <w:ind w:left="0"/>
      </w:pPr>
      <w:r>
        <w:t>尊敬的投资者：</w:t>
      </w:r>
    </w:p>
    <w:p>
      <w:pPr>
        <w:adjustRightInd w:val="0"/>
        <w:spacing w:line="360" w:lineRule="auto"/>
        <w:ind w:firstLine="420" w:firstLineChars="200"/>
        <w:jc w:val="both"/>
        <w:rPr>
          <w:color w:val="000000"/>
          <w:sz w:val="21"/>
          <w:szCs w:val="21"/>
          <w:lang w:val="en-US"/>
        </w:rPr>
      </w:pPr>
      <w:r>
        <w:rPr>
          <w:rStyle w:val="14"/>
          <w:rFonts w:hint="default" w:ascii="宋体" w:eastAsia="宋体" w:cs="宋体"/>
          <w:kern w:val="2"/>
          <w:sz w:val="21"/>
          <w:szCs w:val="21"/>
          <w:lang w:val="en-US" w:bidi="ar-SA"/>
        </w:rPr>
        <w:t>为了使您充分了解风险警示股票业务相关风险，本公司特向您提供《方正证券股份有限公司上海证券交易所风险警示股票交易风险揭示书》（以下简称《风险揭示书》）。</w:t>
      </w:r>
      <w:r>
        <w:rPr>
          <w:rFonts w:hint="eastAsia"/>
          <w:color w:val="000000"/>
          <w:kern w:val="2"/>
          <w:sz w:val="21"/>
          <w:szCs w:val="21"/>
          <w:lang w:val="en-US" w:bidi="ar-SA"/>
        </w:rPr>
        <w:t>参与风险警示股票交易除了面临证券市场中的宏观经济风险、政策风险、市场风险、上市公司经营风险、技术风险、不可抗力因素导致的风险等之外，还有自身特别的风险，本《风险揭示书》旨在向您列示风险警示股票交易所涉及的相关制度规则、风险事项等，充分揭示可能面临的风险，但并不能揭示参与风险警示股票交易的全部风险，请您务必对此有清醒的认识，充分知悉并了解风险警示股票交易风险事项，结合自身风险认知和承受能力，审慎判断是否参与风险警示股票交易。</w:t>
      </w:r>
    </w:p>
    <w:p>
      <w:pPr>
        <w:adjustRightInd w:val="0"/>
        <w:spacing w:line="360" w:lineRule="auto"/>
        <w:ind w:firstLine="420" w:firstLineChars="200"/>
        <w:jc w:val="both"/>
        <w:rPr>
          <w:rStyle w:val="14"/>
          <w:rFonts w:hint="default" w:ascii="宋体" w:eastAsia="宋体" w:cs="宋体"/>
          <w:kern w:val="2"/>
          <w:sz w:val="21"/>
          <w:szCs w:val="21"/>
          <w:lang w:val="en-US" w:bidi="ar-SA"/>
        </w:rPr>
      </w:pPr>
      <w:r>
        <w:rPr>
          <w:rFonts w:hint="eastAsia"/>
          <w:color w:val="000000"/>
          <w:kern w:val="2"/>
          <w:sz w:val="21"/>
          <w:szCs w:val="21"/>
          <w:lang w:val="en-US" w:bidi="ar-SA"/>
        </w:rPr>
        <w:t>您在参与风险警示股票交易前，应认真阅读并理解</w:t>
      </w:r>
      <w:r>
        <w:rPr>
          <w:rFonts w:hint="eastAsia"/>
          <w:color w:val="000000"/>
          <w:sz w:val="21"/>
          <w:szCs w:val="21"/>
        </w:rPr>
        <w:t>《上海证券交易所交易规则》《上海证券交易所科创板股票上市规则》《上海证券交易所股票上市规则》</w:t>
      </w:r>
      <w:r>
        <w:rPr>
          <w:rFonts w:hint="eastAsia"/>
          <w:color w:val="000000"/>
          <w:kern w:val="2"/>
          <w:sz w:val="21"/>
          <w:szCs w:val="21"/>
          <w:lang w:val="en-US" w:bidi="ar-SA"/>
        </w:rPr>
        <w:t>等有关法律、行政法规、部门规章、规范性文件等。</w:t>
      </w:r>
      <w:r>
        <w:rPr>
          <w:rStyle w:val="14"/>
          <w:rFonts w:hint="default" w:ascii="宋体" w:eastAsia="宋体" w:cs="宋体"/>
          <w:kern w:val="2"/>
          <w:sz w:val="21"/>
          <w:szCs w:val="21"/>
          <w:lang w:val="en-US" w:bidi="ar-SA"/>
        </w:rPr>
        <w:t>您通过账号、密码等身份验证方式登录方正证券股份有限公司（以下简称“我公司”）指定交易终端，确认同意接受相关电子合同或文书（包括风险揭示书、适当性匹配意见/产品或服务风险警示及投资者确认书、回访问卷及任何其他形式的文件）的，视为您本人签署，与在纸质文件上手写签名或盖章具有相同的法律效力，无须另行签署纸质合同或文书。本风险揭示书以及您与我公司签署的《证券交易委托代理协议》共同构成您委托我公司参与</w:t>
      </w:r>
      <w:r>
        <w:rPr>
          <w:rFonts w:hint="eastAsia"/>
          <w:color w:val="000000"/>
          <w:kern w:val="2"/>
          <w:sz w:val="21"/>
          <w:szCs w:val="21"/>
          <w:lang w:val="en-US" w:bidi="ar-SA"/>
        </w:rPr>
        <w:t>风险警示股票</w:t>
      </w:r>
      <w:r>
        <w:rPr>
          <w:rStyle w:val="14"/>
          <w:rFonts w:hint="default" w:ascii="宋体" w:eastAsia="宋体" w:cs="宋体"/>
          <w:kern w:val="2"/>
          <w:sz w:val="21"/>
          <w:szCs w:val="21"/>
          <w:lang w:val="en-US" w:bidi="ar-SA"/>
        </w:rPr>
        <w:t>交易的协议。</w:t>
      </w:r>
    </w:p>
    <w:p>
      <w:pPr>
        <w:adjustRightInd w:val="0"/>
        <w:spacing w:line="360" w:lineRule="auto"/>
        <w:ind w:firstLine="420" w:firstLineChars="200"/>
        <w:jc w:val="both"/>
        <w:rPr>
          <w:sz w:val="21"/>
          <w:szCs w:val="21"/>
          <w:lang w:val="en-US"/>
        </w:rPr>
      </w:pPr>
      <w:r>
        <w:rPr>
          <w:rStyle w:val="14"/>
          <w:rFonts w:hint="default" w:ascii="宋体" w:eastAsia="宋体" w:cs="宋体"/>
          <w:kern w:val="2"/>
          <w:sz w:val="21"/>
          <w:szCs w:val="21"/>
          <w:lang w:val="en-US" w:bidi="ar-SA"/>
        </w:rPr>
        <w:t>根据</w:t>
      </w:r>
      <w:r>
        <w:rPr>
          <w:rFonts w:hint="eastAsia"/>
          <w:color w:val="000000"/>
          <w:kern w:val="2"/>
          <w:sz w:val="21"/>
          <w:szCs w:val="21"/>
          <w:lang w:val="en-US" w:bidi="ar-SA"/>
        </w:rPr>
        <w:t>风险警示股票</w:t>
      </w:r>
      <w:r>
        <w:rPr>
          <w:rStyle w:val="14"/>
          <w:rFonts w:hint="default" w:ascii="宋体" w:eastAsia="宋体" w:cs="宋体"/>
          <w:kern w:val="2"/>
          <w:sz w:val="21"/>
          <w:szCs w:val="21"/>
          <w:lang w:val="en-US" w:bidi="ar-SA"/>
        </w:rPr>
        <w:t>业务投资者适当性要求，我公司有权对投资者进行分类管理，并根据投资者的风险承受能力等适当性匹配情况，提供不同的产品或服务。您向我公司提供的相关信息应当真实、准确、完整，</w:t>
      </w:r>
      <w:r>
        <w:rPr>
          <w:rStyle w:val="14"/>
          <w:rFonts w:hint="default" w:ascii="宋体" w:eastAsia="宋体" w:cs="宋体"/>
          <w:kern w:val="2"/>
          <w:sz w:val="21"/>
          <w:szCs w:val="21"/>
          <w:highlight w:val="none"/>
          <w:lang w:val="en-US" w:bidi="ar-SA"/>
        </w:rPr>
        <w:t>如您所提供的信息发生重要变化应当及时告知我公司</w:t>
      </w:r>
      <w:r>
        <w:rPr>
          <w:rStyle w:val="14"/>
          <w:rFonts w:hint="default" w:ascii="宋体" w:hAnsi="Times New Roman" w:eastAsia="宋体" w:cs="宋体"/>
          <w:kern w:val="2"/>
          <w:sz w:val="21"/>
          <w:szCs w:val="21"/>
          <w:highlight w:val="none"/>
          <w:lang w:val="en-US" w:eastAsia="zh-CN" w:bidi="ar-SA"/>
        </w:rPr>
        <w:t>，如您未及时告知，</w:t>
      </w:r>
      <w:r>
        <w:rPr>
          <w:rStyle w:val="14"/>
          <w:rFonts w:hint="default" w:ascii="宋体" w:eastAsia="宋体" w:cs="宋体"/>
          <w:kern w:val="2"/>
          <w:sz w:val="21"/>
          <w:szCs w:val="21"/>
          <w:highlight w:val="none"/>
          <w:lang w:val="en-US" w:bidi="ar-SA"/>
        </w:rPr>
        <w:t>可能影响我公司对您的投资者分类</w:t>
      </w:r>
      <w:r>
        <w:rPr>
          <w:rStyle w:val="14"/>
          <w:rFonts w:hint="default" w:ascii="宋体" w:eastAsia="宋体" w:cs="宋体"/>
          <w:kern w:val="2"/>
          <w:sz w:val="21"/>
          <w:szCs w:val="21"/>
          <w:lang w:val="en-US" w:bidi="ar-SA"/>
        </w:rPr>
        <w:t>。如您提供信息不真实、不准确、不完整以及信息发生变化未及时告知我公司等情况的，我公司有权拒绝向您提供服务，由此产生的一切责任及后果，均由您自行承担。我公司发现您的信用状况和风险承受能力不适合参与</w:t>
      </w:r>
      <w:r>
        <w:rPr>
          <w:rFonts w:hint="eastAsia"/>
          <w:color w:val="000000"/>
          <w:kern w:val="2"/>
          <w:sz w:val="21"/>
          <w:szCs w:val="21"/>
          <w:lang w:val="en-US" w:bidi="ar-SA"/>
        </w:rPr>
        <w:t>风险警示</w:t>
      </w:r>
      <w:r>
        <w:rPr>
          <w:rStyle w:val="14"/>
          <w:rFonts w:hint="default" w:ascii="宋体" w:eastAsia="宋体" w:cs="宋体"/>
          <w:kern w:val="2"/>
          <w:sz w:val="21"/>
          <w:szCs w:val="21"/>
          <w:lang w:val="en-US" w:bidi="ar-SA"/>
        </w:rPr>
        <w:t>股票交易、或频繁发生异常交易行为或发生严重异常交易行为的，我公司可对您账户采取限制措施，甚至中止业务关系。</w:t>
      </w:r>
    </w:p>
    <w:p>
      <w:pPr>
        <w:spacing w:line="360" w:lineRule="auto"/>
        <w:ind w:firstLine="420" w:firstLineChars="200"/>
        <w:jc w:val="both"/>
        <w:rPr>
          <w:kern w:val="2"/>
          <w:sz w:val="21"/>
          <w:szCs w:val="21"/>
          <w:lang w:val="en-US" w:bidi="ar-SA"/>
        </w:rPr>
      </w:pPr>
      <w:r>
        <w:rPr>
          <w:rFonts w:hint="eastAsia"/>
          <w:kern w:val="2"/>
          <w:sz w:val="21"/>
          <w:szCs w:val="21"/>
          <w:lang w:val="en-US" w:bidi="ar-SA"/>
        </w:rPr>
        <w:t>为使您更好地了解</w:t>
      </w:r>
      <w:r>
        <w:rPr>
          <w:rFonts w:hint="eastAsia"/>
          <w:color w:val="000000"/>
          <w:kern w:val="2"/>
          <w:sz w:val="21"/>
          <w:szCs w:val="21"/>
          <w:lang w:val="en-US" w:bidi="ar-SA"/>
        </w:rPr>
        <w:t>风险警示股票</w:t>
      </w:r>
      <w:r>
        <w:rPr>
          <w:rFonts w:hint="eastAsia"/>
          <w:kern w:val="2"/>
          <w:sz w:val="21"/>
          <w:szCs w:val="21"/>
          <w:lang w:val="en-US" w:bidi="ar-SA"/>
        </w:rPr>
        <w:t>的交易风险，根据有关证券交易法律、法规、规章和规则的规定，本公司特向您充分</w:t>
      </w:r>
      <w:r>
        <w:rPr>
          <w:rFonts w:hint="eastAsia"/>
          <w:sz w:val="21"/>
          <w:szCs w:val="21"/>
          <w:lang w:val="en-US" w:bidi="ar-SA"/>
        </w:rPr>
        <w:t>揭示参与上海证券交易所风险警示股票交易面临的风险</w:t>
      </w:r>
      <w:r>
        <w:rPr>
          <w:rFonts w:hint="eastAsia"/>
          <w:kern w:val="2"/>
          <w:sz w:val="21"/>
          <w:szCs w:val="21"/>
          <w:lang w:val="en-US" w:bidi="ar-SA"/>
        </w:rPr>
        <w:t>，请认真阅读并签署，</w:t>
      </w:r>
      <w:r>
        <w:rPr>
          <w:rFonts w:hint="eastAsia"/>
          <w:kern w:val="2"/>
          <w:sz w:val="21"/>
          <w:szCs w:val="21"/>
          <w:lang w:val="en-US" w:eastAsia="zh-CN" w:bidi="ar-SA"/>
        </w:rPr>
        <w:t>慎重决定是否参与风险警示股票交易。您参与风险警示股票交易存在的风险包括</w:t>
      </w:r>
      <w:r>
        <w:rPr>
          <w:rFonts w:hint="eastAsia"/>
          <w:kern w:val="2"/>
          <w:sz w:val="21"/>
          <w:szCs w:val="21"/>
          <w:lang w:val="en-US" w:bidi="ar-SA"/>
        </w:rPr>
        <w:t>但不限于如下风险：</w:t>
      </w:r>
    </w:p>
    <w:p>
      <w:pPr>
        <w:spacing w:line="360" w:lineRule="auto"/>
        <w:ind w:firstLine="420" w:firstLineChars="200"/>
        <w:jc w:val="both"/>
        <w:rPr>
          <w:sz w:val="21"/>
          <w:szCs w:val="21"/>
          <w:lang w:val="en-US"/>
        </w:rPr>
      </w:pPr>
      <w:r>
        <w:rPr>
          <w:rFonts w:hint="eastAsia"/>
          <w:sz w:val="21"/>
          <w:szCs w:val="21"/>
          <w:lang w:val="en-US"/>
        </w:rPr>
        <w:t>一、</w:t>
      </w:r>
      <w:r>
        <w:rPr>
          <w:rFonts w:hint="eastAsia"/>
          <w:sz w:val="21"/>
          <w:szCs w:val="21"/>
          <w:lang w:val="en-US" w:eastAsia="zh-CN"/>
        </w:rPr>
        <w:t>您</w:t>
      </w:r>
      <w:r>
        <w:rPr>
          <w:rFonts w:hint="eastAsia"/>
          <w:sz w:val="21"/>
          <w:szCs w:val="21"/>
          <w:lang w:val="en-US"/>
        </w:rPr>
        <w:t>在参与风险警示股票交易前，应充分了解风险警示股票交易规定和相关上市公司的基本面情况，并根据自身财务状况、实际需求及风险承受能力等，审慎考虑是否买入风险警示股票。</w:t>
      </w:r>
    </w:p>
    <w:p>
      <w:pPr>
        <w:spacing w:line="360" w:lineRule="auto"/>
        <w:ind w:firstLine="420" w:firstLineChars="200"/>
        <w:jc w:val="both"/>
        <w:rPr>
          <w:sz w:val="21"/>
          <w:szCs w:val="21"/>
          <w:lang w:val="en-US"/>
        </w:rPr>
      </w:pPr>
      <w:r>
        <w:rPr>
          <w:rFonts w:hint="eastAsia"/>
          <w:sz w:val="21"/>
          <w:szCs w:val="21"/>
          <w:lang w:val="en-US"/>
        </w:rPr>
        <w:t>二、</w:t>
      </w:r>
      <w:r>
        <w:rPr>
          <w:rFonts w:hint="eastAsia"/>
          <w:sz w:val="21"/>
          <w:szCs w:val="21"/>
          <w:lang w:val="en-US" w:eastAsia="zh-CN"/>
        </w:rPr>
        <w:t>您</w:t>
      </w:r>
      <w:r>
        <w:rPr>
          <w:rFonts w:hint="eastAsia"/>
          <w:sz w:val="21"/>
          <w:szCs w:val="21"/>
          <w:lang w:val="en-US"/>
        </w:rPr>
        <w:t>在参与风险警示股票交易前，应充分了解投资者买卖风险警示股票应当采用限价委托的方式。</w:t>
      </w:r>
    </w:p>
    <w:p>
      <w:pPr>
        <w:spacing w:line="360" w:lineRule="auto"/>
        <w:ind w:firstLine="420" w:firstLineChars="200"/>
        <w:jc w:val="both"/>
        <w:rPr>
          <w:rFonts w:hint="eastAsia"/>
          <w:sz w:val="21"/>
          <w:szCs w:val="21"/>
          <w:lang w:val="en-US" w:eastAsia="zh-CN"/>
        </w:rPr>
      </w:pPr>
      <w:r>
        <w:rPr>
          <w:rFonts w:hint="eastAsia"/>
          <w:sz w:val="21"/>
          <w:szCs w:val="21"/>
          <w:highlight w:val="none"/>
          <w:lang w:val="en-US"/>
        </w:rPr>
        <w:t>三、</w:t>
      </w:r>
      <w:r>
        <w:rPr>
          <w:rFonts w:hint="eastAsia"/>
          <w:sz w:val="21"/>
          <w:szCs w:val="21"/>
          <w:highlight w:val="none"/>
          <w:lang w:val="en-US" w:eastAsia="zh-CN"/>
        </w:rPr>
        <w:t>您</w:t>
      </w:r>
      <w:r>
        <w:rPr>
          <w:rFonts w:hint="eastAsia"/>
          <w:sz w:val="21"/>
          <w:szCs w:val="21"/>
          <w:lang w:val="en-US" w:eastAsia="zh-CN"/>
        </w:rPr>
        <w:t>当日通过竞价交易、大宗交易和盘后固定价格交易累计买入的单只风险警示股票，数量不得超过50万股。</w:t>
      </w:r>
      <w:r>
        <w:rPr>
          <w:rFonts w:hint="eastAsia"/>
          <w:sz w:val="21"/>
          <w:szCs w:val="21"/>
          <w:highlight w:val="none"/>
          <w:lang w:val="en-US" w:eastAsia="zh-CN"/>
        </w:rPr>
        <w:t>您</w:t>
      </w:r>
      <w:r>
        <w:rPr>
          <w:rFonts w:hint="eastAsia"/>
          <w:sz w:val="21"/>
          <w:szCs w:val="21"/>
          <w:lang w:val="en-US" w:eastAsia="zh-CN"/>
        </w:rPr>
        <w:t>当日累计买入风险警示股票数量，按照</w:t>
      </w:r>
      <w:r>
        <w:rPr>
          <w:rFonts w:hint="eastAsia"/>
          <w:sz w:val="21"/>
          <w:szCs w:val="21"/>
          <w:highlight w:val="none"/>
          <w:lang w:val="en-US" w:eastAsia="zh-CN"/>
        </w:rPr>
        <w:t>您</w:t>
      </w:r>
      <w:r>
        <w:rPr>
          <w:rFonts w:hint="eastAsia"/>
          <w:sz w:val="21"/>
          <w:szCs w:val="21"/>
          <w:lang w:val="en-US" w:eastAsia="zh-CN"/>
        </w:rPr>
        <w:t>以本人名义开立的证券账户与融资融券信用证券账户的买入量合并计算；</w:t>
      </w:r>
      <w:r>
        <w:rPr>
          <w:rFonts w:hint="eastAsia"/>
          <w:sz w:val="21"/>
          <w:szCs w:val="21"/>
          <w:highlight w:val="none"/>
          <w:lang w:val="en-US" w:eastAsia="zh-CN"/>
        </w:rPr>
        <w:t>您</w:t>
      </w:r>
      <w:r>
        <w:rPr>
          <w:rFonts w:hint="eastAsia"/>
          <w:sz w:val="21"/>
          <w:szCs w:val="21"/>
          <w:lang w:val="en-US" w:eastAsia="zh-CN"/>
        </w:rPr>
        <w:t>委托买入数量与当日已买入数量及已申报买入但尚未成交、也未撤销的数量之和，不得超过50万股。上市公司回购股份、5%以上股东根据已披露的增持计划增持股份可不受前述50万股买入限制。</w:t>
      </w:r>
    </w:p>
    <w:p>
      <w:pPr>
        <w:spacing w:line="360" w:lineRule="auto"/>
        <w:ind w:firstLine="420" w:firstLineChars="200"/>
        <w:jc w:val="both"/>
        <w:rPr>
          <w:sz w:val="21"/>
          <w:szCs w:val="21"/>
          <w:lang w:val="en-US"/>
        </w:rPr>
      </w:pPr>
      <w:r>
        <w:rPr>
          <w:rFonts w:hint="eastAsia"/>
          <w:sz w:val="21"/>
          <w:szCs w:val="21"/>
          <w:lang w:val="en-US" w:eastAsia="zh-CN"/>
        </w:rPr>
        <w:t>四</w:t>
      </w:r>
      <w:r>
        <w:rPr>
          <w:rFonts w:hint="eastAsia"/>
          <w:sz w:val="21"/>
          <w:szCs w:val="21"/>
          <w:lang w:val="en-US"/>
        </w:rPr>
        <w:t>、</w:t>
      </w:r>
      <w:r>
        <w:rPr>
          <w:rFonts w:hint="eastAsia"/>
          <w:sz w:val="21"/>
          <w:szCs w:val="21"/>
          <w:highlight w:val="none"/>
          <w:lang w:val="en-US" w:eastAsia="zh-CN"/>
        </w:rPr>
        <w:t>您</w:t>
      </w:r>
      <w:r>
        <w:rPr>
          <w:rFonts w:hint="eastAsia"/>
          <w:sz w:val="21"/>
          <w:szCs w:val="21"/>
          <w:lang w:val="en-US"/>
        </w:rPr>
        <w:t>应当特别关注上市公司发布的风险提示性公告，及时从符合中国证监会规定条件的媒体等渠道获取相关信息。</w:t>
      </w:r>
    </w:p>
    <w:p>
      <w:pPr>
        <w:spacing w:line="360" w:lineRule="auto"/>
        <w:ind w:firstLine="420" w:firstLineChars="200"/>
        <w:jc w:val="both"/>
        <w:rPr>
          <w:sz w:val="21"/>
          <w:szCs w:val="21"/>
          <w:lang w:val="en-US"/>
        </w:rPr>
      </w:pPr>
      <w:r>
        <w:rPr>
          <w:rFonts w:hint="eastAsia"/>
          <w:sz w:val="21"/>
          <w:szCs w:val="21"/>
          <w:lang w:val="en-US" w:eastAsia="zh-CN"/>
        </w:rPr>
        <w:t>五</w:t>
      </w:r>
      <w:r>
        <w:rPr>
          <w:rFonts w:hint="eastAsia"/>
          <w:sz w:val="21"/>
          <w:szCs w:val="21"/>
          <w:lang w:val="en-US"/>
        </w:rPr>
        <w:t>、风险警示股票相关法律、行政法规、部门规章、规范性文件（以下简称法律法规）、证券交易所和登记结算机构业务规则可能根据市场情况进行制定、废止和修改，</w:t>
      </w:r>
      <w:r>
        <w:rPr>
          <w:rFonts w:hint="eastAsia"/>
          <w:sz w:val="21"/>
          <w:szCs w:val="21"/>
          <w:highlight w:val="none"/>
          <w:lang w:val="en-US" w:eastAsia="zh-CN"/>
        </w:rPr>
        <w:t>您</w:t>
      </w:r>
      <w:r>
        <w:rPr>
          <w:rFonts w:hint="eastAsia"/>
          <w:sz w:val="21"/>
          <w:szCs w:val="21"/>
          <w:lang w:val="en-US"/>
        </w:rPr>
        <w:t>应当及时予以关注和了解。</w:t>
      </w:r>
    </w:p>
    <w:p>
      <w:pPr>
        <w:pStyle w:val="4"/>
        <w:spacing w:before="4" w:line="360" w:lineRule="auto"/>
        <w:ind w:left="420" w:right="209"/>
        <w:jc w:val="both"/>
        <w:rPr>
          <w:rFonts w:hint="eastAsia"/>
          <w:lang w:val="en-US"/>
        </w:rPr>
      </w:pPr>
      <w:r>
        <w:rPr>
          <w:rFonts w:hint="eastAsia"/>
          <w:lang w:val="en-US" w:eastAsia="zh-CN"/>
        </w:rPr>
        <w:t>六</w:t>
      </w:r>
      <w:r>
        <w:rPr>
          <w:rFonts w:hint="eastAsia"/>
          <w:lang w:val="en-US"/>
        </w:rPr>
        <w:t>、</w:t>
      </w:r>
      <w:r>
        <w:rPr>
          <w:rFonts w:hint="eastAsia"/>
          <w:lang w:val="en-US" w:eastAsia="zh-CN"/>
        </w:rPr>
        <w:t>我</w:t>
      </w:r>
      <w:r>
        <w:rPr>
          <w:rFonts w:hint="eastAsia"/>
          <w:lang w:val="en-US"/>
        </w:rPr>
        <w:t>公司履行投资者适当性职责不能取代</w:t>
      </w:r>
      <w:r>
        <w:rPr>
          <w:rFonts w:hint="eastAsia"/>
          <w:lang w:val="en-US" w:eastAsia="zh-CN"/>
        </w:rPr>
        <w:t>您</w:t>
      </w:r>
      <w:r>
        <w:rPr>
          <w:rFonts w:hint="eastAsia"/>
          <w:lang w:val="en-US"/>
        </w:rPr>
        <w:t>本人的投资判断，不会降低产品或服务的固有风险，也不会</w:t>
      </w:r>
      <w:r>
        <w:rPr>
          <w:rFonts w:hint="eastAsia"/>
          <w:lang w:val="en-US" w:eastAsia="zh-CN"/>
        </w:rPr>
        <w:t>影</w:t>
      </w:r>
      <w:r>
        <w:rPr>
          <w:rFonts w:hint="eastAsia"/>
          <w:lang w:val="en-US"/>
        </w:rPr>
        <w:t>响</w:t>
      </w:r>
      <w:r>
        <w:rPr>
          <w:rFonts w:hint="eastAsia"/>
          <w:lang w:val="en-US" w:eastAsia="zh-CN"/>
        </w:rPr>
        <w:t>您</w:t>
      </w:r>
      <w:r>
        <w:rPr>
          <w:rFonts w:hint="eastAsia"/>
          <w:lang w:val="en-US"/>
        </w:rPr>
        <w:t>依法承担相应的投资风险、履约责任以及费用。</w:t>
      </w:r>
    </w:p>
    <w:p>
      <w:pPr>
        <w:pStyle w:val="3"/>
        <w:spacing w:line="360" w:lineRule="auto"/>
        <w:ind w:right="170"/>
        <w:jc w:val="both"/>
        <w:rPr>
          <w:rFonts w:hint="eastAsia"/>
          <w:w w:val="95"/>
        </w:rPr>
      </w:pPr>
      <w:r>
        <w:rPr>
          <w:spacing w:val="3"/>
          <w:w w:val="95"/>
        </w:rPr>
        <w:t>本《风险揭示书》的提示事项仅为列举</w:t>
      </w:r>
      <w:r>
        <w:rPr>
          <w:rFonts w:hint="eastAsia"/>
          <w:spacing w:val="3"/>
          <w:w w:val="95"/>
          <w:lang w:val="en-US" w:eastAsia="zh-CN"/>
        </w:rPr>
        <w:t>事项</w:t>
      </w:r>
      <w:r>
        <w:rPr>
          <w:spacing w:val="3"/>
          <w:w w:val="95"/>
        </w:rPr>
        <w:t>，未能详尽</w:t>
      </w:r>
      <w:r>
        <w:rPr>
          <w:rFonts w:hint="eastAsia"/>
          <w:spacing w:val="3"/>
          <w:w w:val="95"/>
          <w:lang w:val="en-US" w:eastAsia="zh-CN"/>
        </w:rPr>
        <w:t>载</w:t>
      </w:r>
      <w:r>
        <w:rPr>
          <w:spacing w:val="3"/>
          <w:w w:val="95"/>
        </w:rPr>
        <w:t>明风险警示股票交易的所有风险。您在参与风险</w:t>
      </w:r>
      <w:r>
        <w:rPr>
          <w:w w:val="95"/>
        </w:rPr>
        <w:t>警示股票交易前，</w:t>
      </w:r>
      <w:r>
        <w:rPr>
          <w:rFonts w:hint="eastAsia"/>
          <w:w w:val="95"/>
        </w:rPr>
        <w:t>应当认真阅读</w:t>
      </w:r>
      <w:r>
        <w:rPr>
          <w:rFonts w:hint="eastAsia"/>
          <w:w w:val="95"/>
          <w:lang w:val="en-US" w:eastAsia="zh-CN"/>
        </w:rPr>
        <w:t>信息披露公告、业务协议、产品说明书等法律文件，熟悉风险警示</w:t>
      </w:r>
      <w:bookmarkStart w:id="0" w:name="_GoBack"/>
      <w:bookmarkEnd w:id="0"/>
      <w:r>
        <w:rPr>
          <w:rFonts w:hint="eastAsia"/>
          <w:w w:val="95"/>
          <w:lang w:val="en-US" w:eastAsia="zh-CN"/>
        </w:rPr>
        <w:t>股票交易相关法律法规、</w:t>
      </w:r>
      <w:r>
        <w:rPr>
          <w:rFonts w:hint="eastAsia"/>
          <w:w w:val="95"/>
        </w:rPr>
        <w:t>交易所</w:t>
      </w:r>
      <w:r>
        <w:rPr>
          <w:rFonts w:hint="eastAsia"/>
          <w:w w:val="95"/>
          <w:lang w:val="en-US" w:eastAsia="zh-CN"/>
        </w:rPr>
        <w:t>相关</w:t>
      </w:r>
      <w:r>
        <w:rPr>
          <w:rFonts w:hint="eastAsia"/>
          <w:w w:val="95"/>
        </w:rPr>
        <w:t>业务规则等，对其他可能存在的风险因素也应当有所了解和掌握，并确信自己已</w:t>
      </w:r>
      <w:r>
        <w:rPr>
          <w:rFonts w:hint="eastAsia"/>
          <w:w w:val="95"/>
          <w:lang w:val="en-US" w:eastAsia="zh-CN"/>
        </w:rPr>
        <w:t>经</w:t>
      </w:r>
      <w:r>
        <w:rPr>
          <w:rFonts w:hint="eastAsia"/>
          <w:w w:val="95"/>
        </w:rPr>
        <w:t>做好足够的风险</w:t>
      </w:r>
      <w:r>
        <w:rPr>
          <w:rFonts w:hint="eastAsia"/>
          <w:w w:val="95"/>
          <w:lang w:val="en-US" w:eastAsia="zh-CN"/>
        </w:rPr>
        <w:t>控制和</w:t>
      </w:r>
      <w:r>
        <w:rPr>
          <w:rFonts w:hint="eastAsia"/>
          <w:w w:val="95"/>
        </w:rPr>
        <w:t>财务安排，避免因参与风险警示股票交易遭受难以承受的</w:t>
      </w:r>
      <w:r>
        <w:rPr>
          <w:rFonts w:hint="eastAsia"/>
          <w:w w:val="95"/>
          <w:lang w:val="en-US" w:eastAsia="zh-CN"/>
        </w:rPr>
        <w:t>风险</w:t>
      </w:r>
      <w:r>
        <w:rPr>
          <w:rFonts w:hint="eastAsia"/>
          <w:w w:val="95"/>
        </w:rPr>
        <w:t>。</w:t>
      </w:r>
    </w:p>
    <w:p>
      <w:pPr>
        <w:pStyle w:val="3"/>
        <w:spacing w:line="360" w:lineRule="auto"/>
        <w:ind w:right="170"/>
        <w:jc w:val="both"/>
        <w:rPr>
          <w:rFonts w:hint="eastAsia"/>
          <w:spacing w:val="3"/>
          <w:w w:val="95"/>
          <w:lang w:val="en-US" w:eastAsia="zh-CN"/>
        </w:rPr>
      </w:pPr>
      <w:r>
        <w:rPr>
          <w:sz w:val="19"/>
        </w:rPr>
        <mc:AlternateContent>
          <mc:Choice Requires="wps">
            <w:drawing>
              <wp:anchor distT="0" distB="0" distL="114300" distR="114300" simplePos="0" relativeHeight="251660288" behindDoc="0" locked="0" layoutInCell="1" allowOverlap="1">
                <wp:simplePos x="0" y="0"/>
                <wp:positionH relativeFrom="column">
                  <wp:posOffset>2372360</wp:posOffset>
                </wp:positionH>
                <wp:positionV relativeFrom="paragraph">
                  <wp:posOffset>434340</wp:posOffset>
                </wp:positionV>
                <wp:extent cx="1114425" cy="1076325"/>
                <wp:effectExtent l="4445" t="4445" r="5080" b="5080"/>
                <wp:wrapNone/>
                <wp:docPr id="2" name="椭圆 2"/>
                <wp:cNvGraphicFramePr/>
                <a:graphic xmlns:a="http://schemas.openxmlformats.org/drawingml/2006/main">
                  <a:graphicData uri="http://schemas.microsoft.com/office/word/2010/wordprocessingShape">
                    <wps:wsp>
                      <wps:cNvSpPr/>
                      <wps:spPr>
                        <a:xfrm>
                          <a:off x="0" y="0"/>
                          <a:ext cx="1114425" cy="1076325"/>
                        </a:xfrm>
                        <a:prstGeom prst="ellipse">
                          <a:avLst/>
                        </a:prstGeom>
                        <a:ln w="9525" cap="flat" cmpd="sng" algn="ctr">
                          <a:solidFill>
                            <a:schemeClr val="bg1">
                              <a:lumMod val="75000"/>
                            </a:schemeClr>
                          </a:solidFill>
                          <a:prstDash val="dash"/>
                        </a:ln>
                      </wps:spPr>
                      <wps:style>
                        <a:lnRef idx="0">
                          <a:schemeClr val="accent1"/>
                        </a:lnRef>
                        <a:fillRef idx="0">
                          <a:srgbClr val="FFFFFF"/>
                        </a:fillRef>
                        <a:effectRef idx="0">
                          <a:srgbClr val="FFFFFF"/>
                        </a:effectRef>
                        <a:fontRef idx="minor">
                          <a:schemeClr val="tx1"/>
                        </a:fontRef>
                      </wps:style>
                      <wps:txbx>
                        <w:txbxContent>
                          <w:p>
                            <w:pPr>
                              <w:jc w:val="center"/>
                              <w:rPr>
                                <w:rFonts w:hint="default" w:eastAsia="宋体"/>
                                <w:color w:val="D9D9D9" w:themeColor="background1" w:themeShade="D9"/>
                                <w:sz w:val="21"/>
                                <w:szCs w:val="21"/>
                                <w:lang w:val="en-US" w:eastAsia="zh-CN"/>
                              </w:rPr>
                            </w:pPr>
                            <w:r>
                              <w:rPr>
                                <w:rFonts w:hint="eastAsia"/>
                                <w:color w:val="D9D9D9" w:themeColor="background1" w:themeShade="D9"/>
                                <w:sz w:val="21"/>
                                <w:szCs w:val="21"/>
                                <w:lang w:val="en-US" w:eastAsia="zh-CN"/>
                              </w:rPr>
                              <w:t>公章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86.8pt;margin-top:34.2pt;height:84.75pt;width:87.75pt;z-index:251660288;v-text-anchor:middle;mso-width-relative:page;mso-height-relative:page;" filled="f" stroked="t" coordsize="21600,21600" o:gfxdata="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wWPrF3AAAAAoBAAAPAAAAAAAAAAEAIAAAACIA&#10;AABkcnMvZG93bnJldi54bWxQSwECFAAUAAAACACHTuJA7grlOXcCAADjBAAADgAAAAAAAAABACAA&#10;AAArAQAAZHJzL2Uyb0RvYy54bWxQSwUGAAAAAAYABgBZAQAAFAYAAAAA&#10;">
                <v:fill on="f" focussize="0,0"/>
                <v:stroke color="#BFBFBF [2412]" joinstyle="round" dashstyle="dash"/>
                <v:imagedata o:title=""/>
                <o:lock v:ext="edit" aspectratio="f"/>
                <v:textbox>
                  <w:txbxContent>
                    <w:p>
                      <w:pPr>
                        <w:jc w:val="center"/>
                        <w:rPr>
                          <w:rFonts w:hint="default" w:eastAsia="宋体"/>
                          <w:color w:val="D9D9D9" w:themeColor="background1" w:themeShade="D9"/>
                          <w:sz w:val="21"/>
                          <w:szCs w:val="21"/>
                          <w:lang w:val="en-US" w:eastAsia="zh-CN"/>
                        </w:rPr>
                      </w:pPr>
                      <w:r>
                        <w:rPr>
                          <w:rFonts w:hint="eastAsia"/>
                          <w:color w:val="D9D9D9" w:themeColor="background1" w:themeShade="D9"/>
                          <w:sz w:val="21"/>
                          <w:szCs w:val="21"/>
                          <w:lang w:val="en-US" w:eastAsia="zh-CN"/>
                        </w:rPr>
                        <w:t>公章</w:t>
                      </w:r>
                    </w:p>
                  </w:txbxContent>
                </v:textbox>
              </v:shape>
            </w:pict>
          </mc:Fallback>
        </mc:AlternateContent>
      </w:r>
      <w:r>
        <w:rPr>
          <w:b/>
          <w:spacing w:val="3"/>
          <w:w w:val="95"/>
          <w:sz w:val="21"/>
        </w:rPr>
        <w:t>本</w:t>
      </w:r>
      <w:r>
        <w:rPr>
          <w:spacing w:val="3"/>
          <w:w w:val="95"/>
        </w:rPr>
        <w:t>人</w:t>
      </w:r>
      <w:r>
        <w:rPr>
          <w:rFonts w:hint="eastAsia"/>
          <w:spacing w:val="3"/>
          <w:w w:val="95"/>
          <w:lang w:val="en-US"/>
        </w:rPr>
        <w:t>/本机构</w:t>
      </w:r>
      <w:r>
        <w:rPr>
          <w:spacing w:val="3"/>
          <w:w w:val="95"/>
        </w:rPr>
        <w:t>确认已知晓并理解《风险</w:t>
      </w:r>
      <w:r>
        <w:rPr>
          <w:rFonts w:hint="eastAsia"/>
          <w:spacing w:val="3"/>
          <w:w w:val="95"/>
        </w:rPr>
        <w:t>揭</w:t>
      </w:r>
      <w:r>
        <w:rPr>
          <w:spacing w:val="3"/>
          <w:w w:val="95"/>
        </w:rPr>
        <w:t>示书》的全部内容</w:t>
      </w:r>
      <w:r>
        <w:rPr>
          <w:rFonts w:hint="eastAsia"/>
          <w:spacing w:val="3"/>
          <w:w w:val="95"/>
          <w:lang w:eastAsia="zh-CN"/>
        </w:rPr>
        <w:t>，</w:t>
      </w:r>
      <w:r>
        <w:rPr>
          <w:spacing w:val="3"/>
          <w:w w:val="95"/>
          <w:lang w:val="en-US" w:eastAsia="zh-CN"/>
        </w:rPr>
        <w:t>充分知晓风险警示股票交易面临的风</w:t>
      </w:r>
      <w:r>
        <w:rPr>
          <w:rFonts w:hint="eastAsia"/>
          <w:spacing w:val="3"/>
          <w:w w:val="95"/>
          <w:lang w:val="en-US" w:eastAsia="zh-CN"/>
        </w:rPr>
        <w:t>险。</w:t>
      </w:r>
    </w:p>
    <w:p>
      <w:pPr>
        <w:pStyle w:val="3"/>
        <w:spacing w:line="360" w:lineRule="auto"/>
        <w:ind w:right="170"/>
        <w:jc w:val="both"/>
        <w:rPr>
          <w:spacing w:val="3"/>
          <w:w w:val="95"/>
        </w:rPr>
      </w:pPr>
      <w:r>
        <w:rPr>
          <w:rFonts w:hint="eastAsia"/>
          <w:spacing w:val="3"/>
          <w:w w:val="95"/>
          <w:lang w:val="en-US" w:eastAsia="zh-CN"/>
        </w:rPr>
        <w:t>您</w:t>
      </w:r>
      <w:r>
        <w:rPr>
          <w:rFonts w:hint="eastAsia"/>
          <w:spacing w:val="3"/>
          <w:w w:val="95"/>
        </w:rPr>
        <w:t>在本《风险揭示书》上签字，即表明</w:t>
      </w:r>
      <w:r>
        <w:rPr>
          <w:rFonts w:hint="eastAsia"/>
          <w:spacing w:val="3"/>
          <w:w w:val="95"/>
          <w:lang w:val="en-US" w:eastAsia="zh-CN"/>
        </w:rPr>
        <w:t>您</w:t>
      </w:r>
      <w:r>
        <w:rPr>
          <w:rFonts w:hint="eastAsia"/>
          <w:spacing w:val="3"/>
          <w:w w:val="95"/>
        </w:rPr>
        <w:t>已经理解并愿意自行承担参与风险警示股票交易的风险和损失。</w:t>
      </w:r>
    </w:p>
    <w:p>
      <w:pPr>
        <w:pStyle w:val="4"/>
        <w:tabs>
          <w:tab w:val="left" w:pos="5991"/>
        </w:tabs>
        <w:spacing w:before="1" w:line="321" w:lineRule="auto"/>
        <w:ind w:right="3167"/>
      </w:pPr>
      <w:r>
        <w:rPr>
          <w:sz w:val="21"/>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173355</wp:posOffset>
                </wp:positionV>
                <wp:extent cx="2078355" cy="323215"/>
                <wp:effectExtent l="4445" t="4445" r="5080" b="7620"/>
                <wp:wrapNone/>
                <wp:docPr id="1" name="矩形 1"/>
                <wp:cNvGraphicFramePr/>
                <a:graphic xmlns:a="http://schemas.openxmlformats.org/drawingml/2006/main">
                  <a:graphicData uri="http://schemas.microsoft.com/office/word/2010/wordprocessingShape">
                    <wps:wsp>
                      <wps:cNvSpPr/>
                      <wps:spPr>
                        <a:xfrm>
                          <a:off x="0" y="0"/>
                          <a:ext cx="2078355" cy="323215"/>
                        </a:xfrm>
                        <a:prstGeom prst="rect">
                          <a:avLst/>
                        </a:prstGeom>
                        <a:ln w="9525" cap="flat" cmpd="sng" algn="ctr">
                          <a:solidFill>
                            <a:schemeClr val="bg1">
                              <a:lumMod val="75000"/>
                            </a:schemeClr>
                          </a:solidFill>
                          <a:prstDash val="dash"/>
                        </a:ln>
                      </wps:spPr>
                      <wps:style>
                        <a:lnRef idx="0">
                          <a:schemeClr val="accent1"/>
                        </a:lnRef>
                        <a:fillRef idx="0">
                          <a:srgbClr val="FFFFFF"/>
                        </a:fillRef>
                        <a:effectRef idx="0">
                          <a:srgbClr val="FFFFFF"/>
                        </a:effectRef>
                        <a:fontRef idx="minor">
                          <a:schemeClr val="tx1"/>
                        </a:fontRef>
                      </wps:style>
                      <wps:txbx>
                        <w:txbxContent>
                          <w:p>
                            <w:pPr>
                              <w:wordWrap/>
                              <w:jc w:val="right"/>
                              <w:rPr>
                                <w:rFonts w:hint="default" w:eastAsia="宋体"/>
                                <w:color w:val="BFBFBF" w:themeColor="background1" w:themeShade="BF"/>
                                <w:lang w:val="en-US" w:eastAsia="zh-CN"/>
                              </w:rPr>
                            </w:pPr>
                            <w:r>
                              <w:rPr>
                                <w:rFonts w:hint="eastAsia"/>
                                <w:color w:val="BFBFBF" w:themeColor="background1" w:themeShade="BF"/>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85pt;margin-top:13.65pt;height:25.45pt;width:163.65pt;z-index:251659264;v-text-anchor:middle;mso-width-relative:page;mso-height-relative:page;" filled="f" stroked="t" coordsize="21600,21600" o:gfxdata="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JWEtUfWAAAABwEAAA8AAAAAAAAAAQAgAAAAIgAAAGRycy9k&#10;b3ducmV2LnhtbFBLAQIUABQAAAAIAIdO4kA1b5fKdgIAAN8EAAAOAAAAAAAAAAEAIAAAACUBAABk&#10;cnMvZTJvRG9jLnhtbFBLBQYAAAAABgAGAFkBAAANBgAAAAA=&#10;">
                <v:fill on="f" focussize="0,0"/>
                <v:stroke color="#BFBFBF [2412]" joinstyle="round" dashstyle="dash"/>
                <v:imagedata o:title=""/>
                <o:lock v:ext="edit" aspectratio="f"/>
                <v:textbox>
                  <w:txbxContent>
                    <w:p>
                      <w:pPr>
                        <w:wordWrap/>
                        <w:jc w:val="right"/>
                        <w:rPr>
                          <w:rFonts w:hint="default" w:eastAsia="宋体"/>
                          <w:color w:val="BFBFBF" w:themeColor="background1" w:themeShade="BF"/>
                          <w:lang w:val="en-US" w:eastAsia="zh-CN"/>
                        </w:rPr>
                      </w:pPr>
                      <w:r>
                        <w:rPr>
                          <w:rFonts w:hint="eastAsia"/>
                          <w:color w:val="BFBFBF" w:themeColor="background1" w:themeShade="BF"/>
                          <w:lang w:val="en-US" w:eastAsia="zh-CN"/>
                        </w:rPr>
                        <w:t xml:space="preserve"> </w:t>
                      </w:r>
                    </w:p>
                  </w:txbxContent>
                </v:textbox>
              </v:rect>
            </w:pict>
          </mc:Fallback>
        </mc:AlternateContent>
      </w:r>
      <w:r>
        <w:t>投资者（个人签字/机构盖章）:</w:t>
      </w:r>
      <w:r>
        <w:tab/>
      </w:r>
      <w:r>
        <w:t>营业网点盖章</w:t>
      </w:r>
      <w:r>
        <w:rPr>
          <w:spacing w:val="-14"/>
        </w:rPr>
        <w:t xml:space="preserve">: </w:t>
      </w:r>
      <w:r>
        <w:t>机构经办人（签字）:</w:t>
      </w:r>
    </w:p>
    <w:p>
      <w:pPr>
        <w:pStyle w:val="4"/>
        <w:tabs>
          <w:tab w:val="left" w:pos="1686"/>
          <w:tab w:val="left" w:pos="2315"/>
          <w:tab w:val="left" w:pos="2946"/>
          <w:tab w:val="left" w:pos="5991"/>
          <w:tab w:val="left" w:pos="7355"/>
          <w:tab w:val="left" w:pos="7986"/>
          <w:tab w:val="left" w:pos="8615"/>
        </w:tabs>
        <w:spacing w:before="0" w:line="266" w:lineRule="exact"/>
      </w:pPr>
    </w:p>
    <w:p>
      <w:pPr>
        <w:pStyle w:val="4"/>
        <w:tabs>
          <w:tab w:val="left" w:pos="1686"/>
          <w:tab w:val="left" w:pos="2315"/>
          <w:tab w:val="left" w:pos="2946"/>
          <w:tab w:val="left" w:pos="5991"/>
          <w:tab w:val="left" w:pos="7355"/>
          <w:tab w:val="left" w:pos="7986"/>
          <w:tab w:val="left" w:pos="8615"/>
        </w:tabs>
        <w:spacing w:before="0" w:line="266" w:lineRule="exact"/>
      </w:pPr>
      <w:r>
        <w:t>签署日期:</w:t>
      </w:r>
      <w:r>
        <w:tab/>
      </w:r>
      <w:r>
        <w:t>年</w:t>
      </w:r>
      <w:r>
        <w:tab/>
      </w:r>
      <w:r>
        <w:t>月</w:t>
      </w:r>
      <w:r>
        <w:tab/>
      </w:r>
      <w:r>
        <w:t>日</w:t>
      </w:r>
      <w:r>
        <w:tab/>
      </w:r>
      <w:r>
        <w:t>签署日期:</w:t>
      </w:r>
      <w:r>
        <w:tab/>
      </w:r>
      <w:r>
        <w:t>年</w:t>
      </w:r>
      <w:r>
        <w:tab/>
      </w:r>
      <w:r>
        <w:t>月</w:t>
      </w:r>
      <w:r>
        <w:tab/>
      </w:r>
      <w:r>
        <w:t>日</w:t>
      </w:r>
    </w:p>
    <w:sectPr>
      <w:headerReference r:id="rId3" w:type="default"/>
      <w:type w:val="continuous"/>
      <w:pgSz w:w="11910" w:h="16840"/>
      <w:pgMar w:top="900" w:right="640" w:bottom="280" w:left="7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hint="eastAsia"/>
        <w:lang w:val="en-US" w:eastAsia="zh-CN"/>
      </w:rPr>
    </w:pPr>
    <w:r>
      <w:rPr>
        <w:rFonts w:hint="eastAsia"/>
        <w:lang w:val="en-US" w:eastAsia="zh-CN"/>
      </w:rPr>
      <w:t>2026年6月版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0"/>
  <w:displayHorizontalDrawingGridEvery w:val="1"/>
  <w:displayVerticalDrawingGridEvery w:val="1"/>
  <w:noPunctuationKerning w:val="1"/>
  <w:characterSpacingControl w:val="doNotCompress"/>
  <w:compat>
    <w:spaceForUL/>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3NmY4MGNjZGNhZDgyMTAwNGFjNWQyNTE5YTQzYjYifQ=="/>
  </w:docVars>
  <w:rsids>
    <w:rsidRoot w:val="00580996"/>
    <w:rsid w:val="00000E3F"/>
    <w:rsid w:val="000A551E"/>
    <w:rsid w:val="0020083B"/>
    <w:rsid w:val="00273B1C"/>
    <w:rsid w:val="002A4906"/>
    <w:rsid w:val="002B7EBB"/>
    <w:rsid w:val="003B6FED"/>
    <w:rsid w:val="003E7672"/>
    <w:rsid w:val="00580996"/>
    <w:rsid w:val="005A1EBE"/>
    <w:rsid w:val="00627E34"/>
    <w:rsid w:val="00832FEB"/>
    <w:rsid w:val="008818ED"/>
    <w:rsid w:val="008A5818"/>
    <w:rsid w:val="00930B8C"/>
    <w:rsid w:val="00A02323"/>
    <w:rsid w:val="00AE146A"/>
    <w:rsid w:val="00CF31B9"/>
    <w:rsid w:val="00DA1C6D"/>
    <w:rsid w:val="00DB4550"/>
    <w:rsid w:val="00DF0B23"/>
    <w:rsid w:val="00E273F0"/>
    <w:rsid w:val="00E753A0"/>
    <w:rsid w:val="00E96AEE"/>
    <w:rsid w:val="00EB443C"/>
    <w:rsid w:val="00F3231C"/>
    <w:rsid w:val="08870D0B"/>
    <w:rsid w:val="0BC43406"/>
    <w:rsid w:val="0ED75121"/>
    <w:rsid w:val="15365D75"/>
    <w:rsid w:val="1CDE5CF8"/>
    <w:rsid w:val="1EA8129D"/>
    <w:rsid w:val="21E619B8"/>
    <w:rsid w:val="249B7911"/>
    <w:rsid w:val="24D76C1D"/>
    <w:rsid w:val="26AA46CA"/>
    <w:rsid w:val="2DA21A10"/>
    <w:rsid w:val="2E1B70C4"/>
    <w:rsid w:val="37E4070D"/>
    <w:rsid w:val="3A1055C8"/>
    <w:rsid w:val="40994C27"/>
    <w:rsid w:val="412829AB"/>
    <w:rsid w:val="4C571962"/>
    <w:rsid w:val="53081721"/>
    <w:rsid w:val="5B0F5D9A"/>
    <w:rsid w:val="5E111034"/>
    <w:rsid w:val="5E181CB6"/>
    <w:rsid w:val="63E66304"/>
    <w:rsid w:val="64DD57BC"/>
    <w:rsid w:val="663F2085"/>
    <w:rsid w:val="67B02749"/>
    <w:rsid w:val="6A213E13"/>
    <w:rsid w:val="6E497B00"/>
    <w:rsid w:val="6FC63BAD"/>
    <w:rsid w:val="773B59FC"/>
    <w:rsid w:val="79FD5912"/>
    <w:rsid w:val="7C4F3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39"/>
      <w:ind w:left="1985" w:right="2080"/>
      <w:jc w:val="center"/>
      <w:outlineLvl w:val="0"/>
    </w:pPr>
    <w:rPr>
      <w:b/>
      <w:bCs/>
      <w:sz w:val="32"/>
      <w:szCs w:val="32"/>
    </w:rPr>
  </w:style>
  <w:style w:type="paragraph" w:styleId="3">
    <w:name w:val="heading 2"/>
    <w:basedOn w:val="1"/>
    <w:next w:val="1"/>
    <w:qFormat/>
    <w:uiPriority w:val="1"/>
    <w:pPr>
      <w:ind w:left="112" w:right="171" w:firstLine="420"/>
      <w:outlineLvl w:val="1"/>
    </w:pPr>
    <w:rPr>
      <w:b/>
      <w:bCs/>
      <w:sz w:val="21"/>
      <w:szCs w:val="21"/>
    </w:rPr>
  </w:style>
  <w:style w:type="character" w:default="1" w:styleId="10">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autoRedefine/>
    <w:qFormat/>
    <w:uiPriority w:val="1"/>
    <w:pPr>
      <w:spacing w:before="2"/>
      <w:ind w:left="112"/>
    </w:pPr>
    <w:rPr>
      <w:sz w:val="21"/>
      <w:szCs w:val="21"/>
    </w:rPr>
  </w:style>
  <w:style w:type="paragraph" w:styleId="5">
    <w:name w:val="Plain Text"/>
    <w:basedOn w:val="1"/>
    <w:autoRedefine/>
    <w:qFormat/>
    <w:uiPriority w:val="0"/>
    <w:rPr>
      <w:rFonts w:hAnsi="Courier New" w:cs="Times New Roman"/>
      <w:szCs w:val="20"/>
    </w:rPr>
  </w:style>
  <w:style w:type="paragraph" w:styleId="6">
    <w:name w:val="Balloon Text"/>
    <w:basedOn w:val="1"/>
    <w:link w:val="15"/>
    <w:qFormat/>
    <w:uiPriority w:val="0"/>
    <w:rPr>
      <w:sz w:val="18"/>
      <w:szCs w:val="18"/>
    </w:rPr>
  </w:style>
  <w:style w:type="paragraph" w:styleId="7">
    <w:name w:val="footer"/>
    <w:basedOn w:val="1"/>
    <w:link w:val="17"/>
    <w:autoRedefine/>
    <w:qFormat/>
    <w:uiPriority w:val="0"/>
    <w:pPr>
      <w:tabs>
        <w:tab w:val="center" w:pos="4153"/>
        <w:tab w:val="right" w:pos="8306"/>
      </w:tabs>
      <w:snapToGrid w:val="0"/>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11">
    <w:name w:val="Strong"/>
    <w:basedOn w:val="10"/>
    <w:qFormat/>
    <w:uiPriority w:val="0"/>
    <w:rPr>
      <w:b/>
    </w:rPr>
  </w:style>
  <w:style w:type="paragraph" w:customStyle="1" w:styleId="12">
    <w:name w:val="列出段落1"/>
    <w:basedOn w:val="1"/>
    <w:autoRedefine/>
    <w:qFormat/>
    <w:uiPriority w:val="1"/>
  </w:style>
  <w:style w:type="paragraph" w:customStyle="1" w:styleId="13">
    <w:name w:val="Table Paragraph"/>
    <w:basedOn w:val="1"/>
    <w:autoRedefine/>
    <w:qFormat/>
    <w:uiPriority w:val="1"/>
  </w:style>
  <w:style w:type="character" w:customStyle="1" w:styleId="14">
    <w:name w:val="fontstyle11"/>
    <w:basedOn w:val="10"/>
    <w:autoRedefine/>
    <w:qFormat/>
    <w:uiPriority w:val="0"/>
    <w:rPr>
      <w:rFonts w:hint="eastAsia" w:ascii="仿宋_GB2312" w:eastAsia="仿宋_GB2312" w:cs="仿宋_GB2312"/>
      <w:color w:val="000000"/>
      <w:sz w:val="30"/>
      <w:szCs w:val="30"/>
    </w:rPr>
  </w:style>
  <w:style w:type="character" w:customStyle="1" w:styleId="15">
    <w:name w:val="批注框文本 Char"/>
    <w:basedOn w:val="10"/>
    <w:link w:val="6"/>
    <w:autoRedefine/>
    <w:qFormat/>
    <w:uiPriority w:val="0"/>
    <w:rPr>
      <w:rFonts w:ascii="宋体" w:hAnsi="宋体" w:cs="宋体"/>
      <w:sz w:val="18"/>
      <w:szCs w:val="18"/>
      <w:lang w:val="zh-CN" w:bidi="zh-CN"/>
    </w:rPr>
  </w:style>
  <w:style w:type="character" w:customStyle="1" w:styleId="16">
    <w:name w:val="页眉 Char"/>
    <w:basedOn w:val="10"/>
    <w:link w:val="8"/>
    <w:autoRedefine/>
    <w:qFormat/>
    <w:uiPriority w:val="0"/>
    <w:rPr>
      <w:rFonts w:ascii="宋体" w:hAnsi="宋体" w:cs="宋体"/>
      <w:sz w:val="18"/>
      <w:szCs w:val="18"/>
      <w:lang w:val="zh-CN" w:bidi="zh-CN"/>
    </w:rPr>
  </w:style>
  <w:style w:type="character" w:customStyle="1" w:styleId="17">
    <w:name w:val="页脚 Char"/>
    <w:basedOn w:val="10"/>
    <w:link w:val="7"/>
    <w:autoRedefine/>
    <w:qFormat/>
    <w:uiPriority w:val="0"/>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340</Words>
  <Characters>1944</Characters>
  <Lines>16</Lines>
  <Paragraphs>4</Paragraphs>
  <TotalTime>1</TotalTime>
  <ScaleCrop>false</ScaleCrop>
  <LinksUpToDate>false</LinksUpToDate>
  <CharactersWithSpaces>2280</CharactersWithSpaces>
  <Application>WPS Office_12.8.2.16984_F1E327BC-269C-435d-A152-05C5408002CA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2021-01-22T14:48:00Z</dcterms:created>
  <dc:creator>User</dc:creator>
  <cp:lastModifiedBy>HJ</cp:lastModifiedBy>
  <dcterms:modified xsi:type="dcterms:W3CDTF">2026-07-02T09:11:05Z</dcterms:modified>
  <dc:title>方正证券股份有限公司</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2018-02-27T00:00:00Z</vt:filetime>
  </property>
  <property fmtid="{D5CDD505-2E9C-101B-9397-08002B2CF9AE}" pid="3" name="Creator">
    <vt:lpwstr>WPS Office</vt:lpwstr>
  </property>
  <property fmtid="{D5CDD505-2E9C-101B-9397-08002B2CF9AE}" pid="4" name="LastSaved">
    <vt:filetime>2021-01-04T00:00:00Z</vt:filetime>
  </property>
  <property fmtid="{D5CDD505-2E9C-101B-9397-08002B2CF9AE}" pid="5" name="KSOProductBuildVer">
    <vt:lpwstr>2052-12.8.2.16984</vt:lpwstr>
  </property>
  <property fmtid="{D5CDD505-2E9C-101B-9397-08002B2CF9AE}" pid="6" name="ICV">
    <vt:lpwstr>D74834D2F08343FB88896F8D78AF6611_12</vt:lpwstr>
  </property>
</Properties>
</file>