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r>
        <w:rPr>
          <w:rFonts w:ascii="宋体" w:hAnsi="宋体" w:eastAsia="宋体" w:cs="宋体"/>
          <w:b/>
          <w:bCs/>
        </w:rPr>
        <w:t>方正证券</w:t>
      </w:r>
      <w:r>
        <w:rPr>
          <w:rFonts w:hint="eastAsia" w:ascii="宋体" w:hAnsi="宋体" w:eastAsia="宋体" w:cs="宋体"/>
          <w:b/>
          <w:bCs/>
        </w:rPr>
        <w:t>“</w:t>
      </w:r>
      <w:r>
        <w:rPr>
          <w:rFonts w:ascii="宋体" w:hAnsi="宋体" w:eastAsia="宋体" w:cs="宋体"/>
          <w:b/>
          <w:bCs/>
        </w:rPr>
        <w:t>智能研报</w:t>
      </w:r>
      <w:r>
        <w:rPr>
          <w:rFonts w:hint="eastAsia" w:ascii="宋体" w:hAnsi="宋体" w:eastAsia="宋体" w:cs="宋体"/>
          <w:b/>
          <w:bCs/>
        </w:rPr>
        <w:t>”</w:t>
      </w:r>
      <w:r>
        <w:rPr>
          <w:rFonts w:hint="eastAsia"/>
          <w:b/>
          <w:bCs/>
        </w:rPr>
        <w:t>投资顾问服务协议</w:t>
      </w:r>
    </w:p>
    <w:p/>
    <w:p/>
    <w:p>
      <w:pPr>
        <w:ind w:firstLine="420" w:firstLineChars="200"/>
      </w:pPr>
      <w:r>
        <w:rPr>
          <w:rFonts w:hint="eastAsia"/>
        </w:rPr>
        <w:t>依据《中华人民共和国证券法》、《中华人民共和国合同法》、《中华人民共和国电子签名法》、《证券投资顾问业务暂行规定》和其他有关法律、法规、规章的规定，以及中国证券业协会的有关自律规则，客户（以下简称“甲方”）和方正证券股份有限公司（以下简称“乙方”）本着平等、自愿，诚实信用的原则，就乙方向甲方提供的“智能研报”投资顾问服务（以下简称“智能研报”“本产品”等）相关事项达成如下协议：</w:t>
      </w:r>
    </w:p>
    <w:p/>
    <w:p/>
    <w:p>
      <w:pPr>
        <w:jc w:val="center"/>
        <w:rPr>
          <w:b/>
          <w:bCs/>
        </w:rPr>
      </w:pPr>
      <w:r>
        <w:rPr>
          <w:rFonts w:hint="eastAsia"/>
          <w:b/>
          <w:bCs/>
        </w:rPr>
        <w:t>第一章       特别提示</w:t>
      </w:r>
    </w:p>
    <w:p/>
    <w:p>
      <w:r>
        <w:rPr>
          <w:rFonts w:hint="eastAsia"/>
        </w:rPr>
        <w:t xml:space="preserve">第一条  </w:t>
      </w:r>
      <w:r>
        <w:rPr>
          <w:b/>
        </w:rPr>
        <w:t xml:space="preserve"> </w:t>
      </w:r>
      <w:r>
        <w:rPr>
          <w:rFonts w:hint="eastAsia"/>
          <w:b/>
        </w:rPr>
        <w:t>乙方特别提示甲方仔细阅读本协议中用粗体字标明的乙方免责条款及其他条款，一旦甲方确认提交本协议，即视为甲方已签署本协议书且已充分理解并接受本协议条款。本服务可以使用电子签名方式签约，与纸质签约具有同等法律效力。</w:t>
      </w:r>
    </w:p>
    <w:p/>
    <w:p>
      <w:pPr>
        <w:jc w:val="center"/>
        <w:rPr>
          <w:b/>
          <w:bCs/>
        </w:rPr>
      </w:pPr>
      <w:r>
        <w:rPr>
          <w:rFonts w:hint="eastAsia"/>
          <w:b/>
          <w:bCs/>
        </w:rPr>
        <w:t xml:space="preserve">第二章       </w:t>
      </w:r>
      <w:r>
        <w:rPr>
          <w:rFonts w:hint="eastAsia" w:ascii="宋体" w:hAnsi="宋体" w:eastAsia="宋体" w:cs="宋体"/>
          <w:b/>
          <w:bCs/>
        </w:rPr>
        <w:t>投资顾问</w:t>
      </w:r>
      <w:r>
        <w:rPr>
          <w:rFonts w:hint="eastAsia"/>
          <w:b/>
          <w:bCs/>
        </w:rPr>
        <w:t>服务内容说明</w:t>
      </w:r>
    </w:p>
    <w:p>
      <w:pPr>
        <w:jc w:val="center"/>
        <w:rPr>
          <w:color w:val="000000" w:themeColor="text1"/>
          <w14:textFill>
            <w14:solidFill>
              <w14:schemeClr w14:val="tx1"/>
            </w14:solidFill>
          </w14:textFill>
        </w:rPr>
      </w:pPr>
    </w:p>
    <w:p>
      <w:pPr>
        <w:rPr>
          <w:rFonts w:ascii="宋体" w:hAnsi="宋体" w:eastAsia="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第二条   本产品通过方正证券</w:t>
      </w:r>
      <w:r>
        <w:rPr>
          <w:color w:val="000000" w:themeColor="text1"/>
          <w14:textFill>
            <w14:solidFill>
              <w14:schemeClr w14:val="tx1"/>
            </w14:solidFill>
          </w14:textFill>
        </w:rPr>
        <w:t>线上平台</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甲方</w:t>
      </w:r>
      <w:r>
        <w:rPr>
          <w:rFonts w:hint="eastAsia"/>
          <w:color w:val="000000" w:themeColor="text1"/>
          <w14:textFill>
            <w14:solidFill>
              <w14:schemeClr w14:val="tx1"/>
            </w14:solidFill>
          </w14:textFill>
        </w:rPr>
        <w:t>提供增值服务，</w:t>
      </w:r>
      <w:r>
        <w:rPr>
          <w:color w:val="000000" w:themeColor="text1"/>
          <w14:textFill>
            <w14:solidFill>
              <w14:schemeClr w14:val="tx1"/>
            </w14:solidFill>
          </w14:textFill>
        </w:rPr>
        <w:t>包括但不限于</w:t>
      </w:r>
      <w:r>
        <w:rPr>
          <w:rFonts w:hint="eastAsia"/>
          <w:color w:val="000000" w:themeColor="text1"/>
          <w14:textFill>
            <w14:solidFill>
              <w14:schemeClr w14:val="tx1"/>
            </w14:solidFill>
          </w14:textFill>
        </w:rPr>
        <w:t>“小方APP”</w:t>
      </w:r>
      <w:r>
        <w:rPr>
          <w:color w:val="000000" w:themeColor="text1"/>
          <w14:textFill>
            <w14:solidFill>
              <w14:schemeClr w14:val="tx1"/>
            </w14:solidFill>
          </w14:textFill>
        </w:rPr>
        <w:t>和“方正证券小方”微信公众号；服务类型主要为资讯类服务，</w:t>
      </w:r>
      <w:r>
        <w:rPr>
          <w:rFonts w:hint="eastAsia" w:ascii="宋体" w:hAnsi="宋体" w:eastAsia="宋体" w:cs="宋体"/>
          <w:color w:val="000000" w:themeColor="text1"/>
          <w14:textFill>
            <w14:solidFill>
              <w14:schemeClr w14:val="tx1"/>
            </w14:solidFill>
          </w14:textFill>
        </w:rPr>
        <w:t>包括但不限于提供</w:t>
      </w:r>
      <w:r>
        <w:rPr>
          <w:rFonts w:ascii="宋体" w:hAnsi="宋体" w:eastAsia="宋体" w:cs="宋体"/>
          <w:color w:val="000000" w:themeColor="text1"/>
          <w14:textFill>
            <w14:solidFill>
              <w14:schemeClr w14:val="tx1"/>
            </w14:solidFill>
          </w14:textFill>
        </w:rPr>
        <w:t>当日</w:t>
      </w:r>
      <w:r>
        <w:rPr>
          <w:rFonts w:hint="eastAsia" w:ascii="宋体" w:hAnsi="宋体" w:eastAsia="宋体" w:cs="宋体"/>
          <w:color w:val="000000" w:themeColor="text1"/>
          <w14:textFill>
            <w14:solidFill>
              <w14:schemeClr w14:val="tx1"/>
            </w14:solidFill>
          </w14:textFill>
        </w:rPr>
        <w:t>机构看市汇总</w:t>
      </w:r>
      <w:r>
        <w:rPr>
          <w:rFonts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热点事件汇总</w:t>
      </w:r>
      <w:r>
        <w:rPr>
          <w:rFonts w:ascii="宋体" w:hAnsi="宋体" w:eastAsia="宋体" w:cs="宋体"/>
          <w:color w:val="000000" w:themeColor="text1"/>
          <w14:textFill>
            <w14:solidFill>
              <w14:schemeClr w14:val="tx1"/>
            </w14:solidFill>
          </w14:textFill>
        </w:rPr>
        <w:t>信息，</w:t>
      </w:r>
      <w:r>
        <w:rPr>
          <w:rFonts w:hint="eastAsia" w:ascii="宋体" w:hAnsi="宋体" w:eastAsia="宋体" w:cs="宋体"/>
          <w:color w:val="000000" w:themeColor="text1"/>
          <w14:textFill>
            <w14:solidFill>
              <w14:schemeClr w14:val="tx1"/>
            </w14:solidFill>
          </w14:textFill>
        </w:rPr>
        <w:t>券商晨会重点提及的个股和行业信息</w:t>
      </w:r>
      <w:r>
        <w:rPr>
          <w:rFonts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优质分析师对行业或个股的分析信息</w:t>
      </w:r>
      <w:r>
        <w:rPr>
          <w:rFonts w:ascii="宋体" w:hAnsi="宋体" w:eastAsia="宋体" w:cs="宋体"/>
          <w:color w:val="000000" w:themeColor="text1"/>
          <w14:textFill>
            <w14:solidFill>
              <w14:schemeClr w14:val="tx1"/>
            </w14:solidFill>
          </w14:textFill>
        </w:rPr>
        <w:t>；同时为甲方提供资讯更新提醒服务。</w:t>
      </w:r>
    </w:p>
    <w:p>
      <w:r>
        <w:rPr>
          <w:rFonts w:hint="eastAsia"/>
        </w:rPr>
        <w:t>第三条   本产品在方正证券</w:t>
      </w:r>
      <w:r>
        <w:t>线上平台，包括但不限于</w:t>
      </w:r>
      <w:r>
        <w:rPr>
          <w:rFonts w:hint="eastAsia"/>
        </w:rPr>
        <w:t>“小方APP”</w:t>
      </w:r>
      <w:r>
        <w:rPr>
          <w:color w:val="000000" w:themeColor="text1"/>
          <w14:textFill>
            <w14:solidFill>
              <w14:schemeClr w14:val="tx1"/>
            </w14:solidFill>
          </w14:textFill>
        </w:rPr>
        <w:t>和“方正证券小方”微信公众号</w:t>
      </w:r>
      <w:r>
        <w:rPr>
          <w:rFonts w:hint="eastAsia"/>
        </w:rPr>
        <w:t>上提供服务，甲方在经</w:t>
      </w:r>
      <w:r>
        <w:t>乙方</w:t>
      </w:r>
      <w:r>
        <w:rPr>
          <w:rFonts w:hint="eastAsia"/>
        </w:rPr>
        <w:t>认可并成功签署服务协议后，即可获得使用权限。</w:t>
      </w:r>
    </w:p>
    <w:p>
      <w:pPr>
        <w:jc w:val="center"/>
        <w:rPr>
          <w:b/>
          <w:bCs/>
        </w:rPr>
      </w:pPr>
    </w:p>
    <w:p>
      <w:pPr>
        <w:jc w:val="center"/>
        <w:rPr>
          <w:b/>
          <w:bCs/>
        </w:rPr>
      </w:pPr>
      <w:r>
        <w:rPr>
          <w:rFonts w:hint="eastAsia"/>
          <w:b/>
          <w:bCs/>
        </w:rPr>
        <w:t>第三章       甲方的权利义务</w:t>
      </w:r>
    </w:p>
    <w:p/>
    <w:p>
      <w:r>
        <w:rPr>
          <w:rFonts w:hint="eastAsia"/>
        </w:rPr>
        <w:t>第四条    甲方在服务期限内有权使用乙方提供的相关约定服务，接受乙方对本产品系统的升级改造。</w:t>
      </w:r>
    </w:p>
    <w:p>
      <w:r>
        <w:rPr>
          <w:rFonts w:hint="eastAsia"/>
        </w:rPr>
        <w:t>第五条   乙方对合同涉及的产品系统及相关文档、信息、投资决策产品拥有独立知识产权。甲方应单独使用乙方提供的服务，本产品中的资讯服务不得与他人共享，不得用其进行任何未经授权的商业使用或再销售或者作合同目的以外的使用。</w:t>
      </w:r>
    </w:p>
    <w:p>
      <w:r>
        <w:rPr>
          <w:rFonts w:hint="eastAsia"/>
        </w:rPr>
        <w:t>第六条   甲方不得自行复制、仿制乙方相关软件产品。甲方不得自行修改软件。甲方未经许可自行复制、仿制或修改的，由此产生的一切责任均由甲方自己承担，如给乙方造成损失，甲方应予赔偿。</w:t>
      </w:r>
    </w:p>
    <w:p>
      <w:r>
        <w:rPr>
          <w:rFonts w:hint="eastAsia"/>
        </w:rPr>
        <w:t>第七条   甲方不得对本产品系统的任何部分进行修改、翻译、反向工程、反编译、反汇编或基于此系统或文件制造派生产品，也不得删除此系统或文件上的任何所有权声明或标签。</w:t>
      </w:r>
    </w:p>
    <w:p>
      <w:r>
        <w:rPr>
          <w:rFonts w:hint="eastAsia"/>
        </w:rPr>
        <w:t>第八条   甲方应按照约定向乙方支付本产品服务费。</w:t>
      </w:r>
    </w:p>
    <w:p>
      <w:r>
        <w:rPr>
          <w:rFonts w:hint="eastAsia"/>
        </w:rPr>
        <w:t>第九条   甲方接受服务，应向乙方提供相应信息，甲方所提供的信息应当真实、准确、完整。甲方所提供的信息发生变化，应当及时告知乙方。甲方存在不按照约定向乙方提供相关信息，提供信息不真实、不准确、不完整以及信息发生变化未及时告知乙方等情况的，乙方有权拒绝向甲方提供服务并终止本协议，由此产生的一切责任及后果，均由甲方自行承担。</w:t>
      </w:r>
    </w:p>
    <w:p/>
    <w:p>
      <w:pPr>
        <w:jc w:val="center"/>
        <w:rPr>
          <w:b/>
          <w:bCs/>
        </w:rPr>
      </w:pPr>
      <w:r>
        <w:rPr>
          <w:rFonts w:hint="eastAsia"/>
          <w:b/>
          <w:bCs/>
        </w:rPr>
        <w:t>第四章       乙方的权利义务</w:t>
      </w:r>
    </w:p>
    <w:p/>
    <w:p>
      <w:r>
        <w:rPr>
          <w:rFonts w:hint="eastAsia"/>
        </w:rPr>
        <w:t>第十条   乙方有权向甲方收取产品服务费，乙方在甲方足额支付服务费后为其提供相应的产品服务。乙方有权基于监管规定及乙方的内部制度，根据风险承受能力、投资目标等相关因素将甲方进行分类管理，并向甲方提供本协议项下不同的产品或服务。根据甲方和本协议项下产品或服务的信息变化情况，乙方有权主动调整甲方的风险承受能力等级、投资者分类、服务分级以及适当性匹配意见，且根据前述变化情况，乙方有权单方调整或终止向甲方提供本协议项下的产品或服务。</w:t>
      </w:r>
    </w:p>
    <w:p>
      <w:r>
        <w:rPr>
          <w:rFonts w:hint="eastAsia"/>
        </w:rPr>
        <w:t>第十一条  为保证或提升服务质量，乙方具有对本产品进行升级、改造的权利。乙方有权在系统升级等必需的情况下暂时中止服务，乙方中止服务前，可在乙方APP、官方网站或乙方营业场所公告、电话、短信、微信等方式之一通知甲方。</w:t>
      </w:r>
    </w:p>
    <w:p>
      <w:r>
        <w:rPr>
          <w:rFonts w:hint="eastAsia"/>
        </w:rPr>
        <w:t>第十二条   乙方应当遵守诚实信用原则、勤勉、审慎地为甲方提供证券投资顾问服务。</w:t>
      </w:r>
    </w:p>
    <w:p/>
    <w:p>
      <w:pPr>
        <w:jc w:val="center"/>
        <w:rPr>
          <w:b/>
          <w:bCs/>
        </w:rPr>
      </w:pPr>
      <w:r>
        <w:rPr>
          <w:rFonts w:hint="eastAsia"/>
          <w:b/>
          <w:bCs/>
        </w:rPr>
        <w:t>第五章       服务费及支付方式</w:t>
      </w:r>
    </w:p>
    <w:p>
      <w:pPr>
        <w:rPr>
          <w:color w:val="FF0000"/>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Calibri" w:hAnsi="Calibri" w:cs="Calibri"/>
          <w:i w:val="0"/>
          <w:caps w:val="0"/>
          <w:color w:val="auto"/>
          <w:spacing w:val="0"/>
          <w:sz w:val="21"/>
          <w:szCs w:val="21"/>
        </w:rPr>
      </w:pPr>
      <w:r>
        <w:rPr>
          <w:rFonts w:hint="eastAsia"/>
          <w:b/>
          <w:color w:val="000000" w:themeColor="text1"/>
          <w14:textFill>
            <w14:solidFill>
              <w14:schemeClr w14:val="tx1"/>
            </w14:solidFill>
          </w14:textFill>
        </w:rPr>
        <w:t>第十三条  本服务为比例收费、</w:t>
      </w:r>
      <w:r>
        <w:rPr>
          <w:rFonts w:hint="eastAsia"/>
          <w:b/>
          <w:color w:val="auto"/>
        </w:rPr>
        <w:t>固定收费两种方式，</w:t>
      </w:r>
      <w:r>
        <w:rPr>
          <w:rFonts w:hint="eastAsia" w:ascii="宋体" w:hAnsi="宋体" w:eastAsia="宋体" w:cs="宋体"/>
          <w:b/>
          <w:i w:val="0"/>
          <w:caps w:val="0"/>
          <w:color w:val="auto"/>
          <w:spacing w:val="0"/>
          <w:kern w:val="0"/>
          <w:sz w:val="21"/>
          <w:szCs w:val="21"/>
          <w:shd w:val="clear" w:fill="FFFFFF"/>
          <w:lang w:val="en-US" w:eastAsia="zh-CN" w:bidi="ar"/>
        </w:rPr>
        <w:t>乙方通过“小方</w:t>
      </w:r>
      <w:r>
        <w:rPr>
          <w:rFonts w:hint="default" w:ascii="Calibri" w:hAnsi="Calibri" w:cs="Calibri" w:eastAsiaTheme="minorEastAsia"/>
          <w:b/>
          <w:i w:val="0"/>
          <w:caps w:val="0"/>
          <w:color w:val="auto"/>
          <w:spacing w:val="0"/>
          <w:kern w:val="0"/>
          <w:sz w:val="21"/>
          <w:szCs w:val="21"/>
          <w:shd w:val="clear" w:fill="FFFFFF"/>
          <w:lang w:val="en-US" w:eastAsia="zh-CN" w:bidi="ar"/>
        </w:rPr>
        <w:t>APP</w:t>
      </w:r>
      <w:r>
        <w:rPr>
          <w:rFonts w:hint="eastAsia" w:ascii="宋体" w:hAnsi="宋体" w:eastAsia="宋体" w:cs="宋体"/>
          <w:b/>
          <w:i w:val="0"/>
          <w:caps w:val="0"/>
          <w:color w:val="auto"/>
          <w:spacing w:val="0"/>
          <w:kern w:val="0"/>
          <w:sz w:val="21"/>
          <w:szCs w:val="21"/>
          <w:shd w:val="clear" w:fill="FFFFFF"/>
          <w:lang w:val="en-US" w:eastAsia="zh-CN" w:bidi="ar"/>
        </w:rPr>
        <w:t>”、微信或官网网站等方式之一进行公示：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both"/>
        <w:rPr>
          <w:rFonts w:hint="default" w:ascii="Calibri" w:hAnsi="Calibri" w:cs="Calibri"/>
          <w:i w:val="0"/>
          <w:caps w:val="0"/>
          <w:color w:val="auto"/>
          <w:spacing w:val="0"/>
          <w:sz w:val="21"/>
          <w:szCs w:val="21"/>
        </w:rPr>
      </w:pPr>
      <w:r>
        <w:rPr>
          <w:rFonts w:hint="default" w:ascii="Calibri" w:hAnsi="Calibri" w:cs="Calibri"/>
          <w:b/>
          <w:i w:val="0"/>
          <w:caps w:val="0"/>
          <w:color w:val="auto"/>
          <w:spacing w:val="0"/>
          <w:sz w:val="21"/>
          <w:szCs w:val="21"/>
          <w:shd w:val="clear" w:fill="FFFFFF"/>
          <w:lang w:val="en-US"/>
        </w:rPr>
        <w:t>（一）</w:t>
      </w:r>
      <w:r>
        <w:rPr>
          <w:rFonts w:ascii="Times New Roman" w:hAnsi="Times New Roman" w:cs="Times New Roman"/>
          <w:b/>
          <w:i w:val="0"/>
          <w:caps w:val="0"/>
          <w:color w:val="auto"/>
          <w:spacing w:val="0"/>
          <w:sz w:val="14"/>
          <w:szCs w:val="14"/>
          <w:shd w:val="clear" w:fill="FFFFFF"/>
          <w:lang w:val="en-US"/>
        </w:rPr>
        <w:t> </w:t>
      </w:r>
      <w:r>
        <w:rPr>
          <w:rFonts w:hint="default" w:ascii="Times New Roman" w:hAnsi="Times New Roman" w:cs="Times New Roman"/>
          <w:b/>
          <w:i w:val="0"/>
          <w:caps w:val="0"/>
          <w:color w:val="auto"/>
          <w:spacing w:val="0"/>
          <w:sz w:val="14"/>
          <w:szCs w:val="14"/>
          <w:shd w:val="clear" w:fill="FFFFFF"/>
          <w:lang w:val="en-US"/>
        </w:rPr>
        <w:t> </w:t>
      </w:r>
      <w:r>
        <w:rPr>
          <w:rFonts w:hint="eastAsia" w:ascii="宋体" w:hAnsi="宋体" w:eastAsia="宋体" w:cs="宋体"/>
          <w:b/>
          <w:i w:val="0"/>
          <w:caps w:val="0"/>
          <w:color w:val="auto"/>
          <w:spacing w:val="0"/>
          <w:sz w:val="21"/>
          <w:szCs w:val="21"/>
          <w:shd w:val="clear" w:fill="FFFFFF"/>
        </w:rPr>
        <w:t>比例收费方式：甲方如选择比例收费方式，在签约期内甲方进行证券交易时，服务费由乙方按照双方约定的比例（不含交易佣金率）在乙方的交易系统内自动划拨。如甲方在乙方开立了信用资金账户，乙方将同时对甲方普通资金账户和信用资金账户产生的交易额按本协议双方约定的服务佣金率收取服务费；</w:t>
      </w:r>
    </w:p>
    <w:p>
      <w:pPr>
        <w:pStyle w:val="7"/>
        <w:widowControl/>
        <w:pBdr>
          <w:top w:val="none" w:color="auto" w:sz="0" w:space="0"/>
          <w:left w:val="none" w:color="auto" w:sz="0" w:space="0"/>
          <w:bottom w:val="none" w:color="auto" w:sz="0" w:space="0"/>
          <w:right w:val="none" w:color="auto" w:sz="0" w:space="0"/>
        </w:pBdr>
        <w:shd w:val="clear" w:fill="FFFFFF"/>
        <w:ind w:left="720" w:hanging="720"/>
        <w:rPr>
          <w:rFonts w:hint="eastAsia"/>
          <w:b/>
          <w:color w:val="000000" w:themeColor="text1"/>
          <w:sz w:val="21"/>
          <w14:textFill>
            <w14:solidFill>
              <w14:schemeClr w14:val="tx1"/>
            </w14:solidFill>
          </w14:textFill>
        </w:rPr>
      </w:pPr>
      <w:r>
        <w:rPr>
          <w:rFonts w:hint="default" w:ascii="Calibri" w:hAnsi="Calibri" w:cs="Calibri"/>
          <w:b/>
          <w:i w:val="0"/>
          <w:caps w:val="0"/>
          <w:color w:val="auto"/>
          <w:spacing w:val="0"/>
          <w:sz w:val="21"/>
          <w:szCs w:val="21"/>
          <w:shd w:val="clear" w:fill="FFFFFF"/>
          <w:lang w:val="en-US"/>
        </w:rPr>
        <w:t>（二）</w:t>
      </w:r>
      <w:r>
        <w:rPr>
          <w:rFonts w:hint="default" w:ascii="Times New Roman" w:hAnsi="Times New Roman" w:cs="Times New Roman"/>
          <w:b/>
          <w:i w:val="0"/>
          <w:caps w:val="0"/>
          <w:color w:val="auto"/>
          <w:spacing w:val="0"/>
          <w:sz w:val="14"/>
          <w:szCs w:val="14"/>
          <w:shd w:val="clear" w:fill="FFFFFF"/>
          <w:lang w:val="en-US"/>
        </w:rPr>
        <w:t>  </w:t>
      </w:r>
      <w:r>
        <w:rPr>
          <w:rFonts w:hint="eastAsia" w:ascii="宋体" w:hAnsi="宋体" w:eastAsia="宋体" w:cs="宋体"/>
          <w:b/>
          <w:i w:val="0"/>
          <w:caps w:val="0"/>
          <w:color w:val="auto"/>
          <w:spacing w:val="0"/>
          <w:sz w:val="21"/>
          <w:szCs w:val="21"/>
          <w:shd w:val="clear" w:fill="FFFFFF"/>
        </w:rPr>
        <w:t>固定收费方式：甲方如选择固定收费方式，</w:t>
      </w:r>
      <w:r>
        <w:rPr>
          <w:rFonts w:hint="eastAsia"/>
          <w:b/>
          <w:color w:val="auto"/>
          <w:sz w:val="21"/>
        </w:rPr>
        <w:t>在本协议</w:t>
      </w:r>
      <w:r>
        <w:rPr>
          <w:rFonts w:hint="eastAsia"/>
          <w:b/>
          <w:color w:val="000000" w:themeColor="text1"/>
          <w:sz w:val="21"/>
          <w14:textFill>
            <w14:solidFill>
              <w14:schemeClr w14:val="tx1"/>
            </w14:solidFill>
          </w14:textFill>
        </w:rPr>
        <w:t>签订之日，甲方可使用两种支付方式：</w:t>
      </w:r>
    </w:p>
    <w:p>
      <w:pPr>
        <w:pStyle w:val="7"/>
        <w:widowControl/>
        <w:pBdr>
          <w:top w:val="none" w:color="auto" w:sz="0" w:space="0"/>
          <w:left w:val="none" w:color="auto" w:sz="0" w:space="0"/>
          <w:bottom w:val="none" w:color="auto" w:sz="0" w:space="0"/>
          <w:right w:val="none" w:color="auto" w:sz="0" w:space="0"/>
        </w:pBdr>
        <w:shd w:val="clear" w:fill="FFFFFF"/>
        <w:ind w:left="0" w:firstLine="736" w:firstLineChars="350"/>
        <w:rPr>
          <w:rFonts w:hint="eastAsia"/>
          <w:b/>
          <w:color w:val="000000" w:themeColor="text1"/>
          <w:sz w:val="21"/>
          <w14:textFill>
            <w14:solidFill>
              <w14:schemeClr w14:val="tx1"/>
            </w14:solidFill>
          </w14:textFill>
        </w:rPr>
      </w:pPr>
      <w:r>
        <w:rPr>
          <w:rFonts w:hint="default"/>
          <w:b/>
          <w:color w:val="000000" w:themeColor="text1"/>
          <w:sz w:val="21"/>
          <w14:textFill>
            <w14:solidFill>
              <w14:schemeClr w14:val="tx1"/>
            </w14:solidFill>
          </w14:textFill>
        </w:rPr>
        <w:t xml:space="preserve">1. </w:t>
      </w:r>
      <w:r>
        <w:rPr>
          <w:rFonts w:hint="eastAsia"/>
          <w:b/>
          <w:color w:val="000000" w:themeColor="text1"/>
          <w:sz w:val="21"/>
          <w14:textFill>
            <w14:solidFill>
              <w14:schemeClr w14:val="tx1"/>
            </w14:solidFill>
          </w14:textFill>
        </w:rPr>
        <w:t>甲方可授权乙方通过对甲方资金账户进行划款的方式支付；</w:t>
      </w:r>
    </w:p>
    <w:p>
      <w:pPr>
        <w:pStyle w:val="7"/>
        <w:widowControl/>
        <w:pBdr>
          <w:top w:val="none" w:color="auto" w:sz="0" w:space="0"/>
          <w:left w:val="none" w:color="auto" w:sz="0" w:space="0"/>
          <w:bottom w:val="none" w:color="auto" w:sz="0" w:space="0"/>
          <w:right w:val="none" w:color="auto" w:sz="0" w:space="0"/>
        </w:pBdr>
        <w:shd w:val="clear" w:fill="FFFFFF"/>
        <w:ind w:left="0" w:firstLine="736" w:firstLineChars="350"/>
        <w:rPr>
          <w:b/>
          <w:color w:val="000000" w:themeColor="text1"/>
          <w:sz w:val="21"/>
          <w14:textFill>
            <w14:solidFill>
              <w14:schemeClr w14:val="tx1"/>
            </w14:solidFill>
          </w14:textFill>
        </w:rPr>
      </w:pPr>
      <w:r>
        <w:rPr>
          <w:rFonts w:hint="default"/>
          <w:b/>
          <w:color w:val="000000" w:themeColor="text1"/>
          <w:sz w:val="21"/>
          <w14:textFill>
            <w14:solidFill>
              <w14:schemeClr w14:val="tx1"/>
            </w14:solidFill>
          </w14:textFill>
        </w:rPr>
        <w:t>2. 甲方可使用微信、支付宝等第三方支付平台进行支付。</w:t>
      </w:r>
    </w:p>
    <w:p>
      <w:pPr>
        <w:widowControl/>
        <w:jc w:val="left"/>
        <w:rPr>
          <w:rFonts w:ascii="宋体" w:hAnsi="宋体" w:eastAsia="宋体" w:cs="宋体"/>
          <w:b/>
          <w:kern w:val="0"/>
          <w:szCs w:val="21"/>
        </w:rPr>
      </w:pPr>
      <w:r>
        <w:rPr>
          <w:rFonts w:ascii="宋体" w:hAnsi="宋体" w:eastAsia="宋体" w:cs="宋体"/>
          <w:b/>
          <w:color w:val="000000" w:themeColor="text1"/>
          <w:kern w:val="0"/>
          <w:szCs w:val="21"/>
          <w14:textFill>
            <w14:solidFill>
              <w14:schemeClr w14:val="tx1"/>
            </w14:solidFill>
          </w14:textFill>
        </w:rPr>
        <w:t>第十</w:t>
      </w:r>
      <w:r>
        <w:rPr>
          <w:rFonts w:hint="eastAsia" w:ascii="宋体" w:hAnsi="宋体" w:eastAsia="宋体" w:cs="宋体"/>
          <w:b/>
          <w:color w:val="000000" w:themeColor="text1"/>
          <w:kern w:val="0"/>
          <w:szCs w:val="21"/>
          <w14:textFill>
            <w14:solidFill>
              <w14:schemeClr w14:val="tx1"/>
            </w14:solidFill>
          </w14:textFill>
        </w:rPr>
        <w:t>四</w:t>
      </w:r>
      <w:r>
        <w:rPr>
          <w:rFonts w:ascii="宋体" w:hAnsi="宋体" w:eastAsia="宋体" w:cs="宋体"/>
          <w:b/>
          <w:color w:val="000000" w:themeColor="text1"/>
          <w:kern w:val="0"/>
          <w:szCs w:val="21"/>
          <w14:textFill>
            <w14:solidFill>
              <w14:schemeClr w14:val="tx1"/>
            </w14:solidFill>
          </w14:textFill>
        </w:rPr>
        <w:t>条 本</w:t>
      </w:r>
      <w:r>
        <w:rPr>
          <w:rFonts w:hint="eastAsia" w:ascii="宋体" w:hAnsi="宋体" w:eastAsia="宋体" w:cs="宋体"/>
          <w:b/>
          <w:color w:val="000000" w:themeColor="text1"/>
          <w:kern w:val="0"/>
          <w:szCs w:val="21"/>
          <w14:textFill>
            <w14:solidFill>
              <w14:schemeClr w14:val="tx1"/>
            </w14:solidFill>
          </w14:textFill>
        </w:rPr>
        <w:t>服务的固定收费采</w:t>
      </w:r>
      <w:r>
        <w:rPr>
          <w:rFonts w:ascii="宋体" w:hAnsi="宋体" w:eastAsia="宋体" w:cs="宋体"/>
          <w:b/>
          <w:color w:val="000000" w:themeColor="text1"/>
          <w:kern w:val="0"/>
          <w:szCs w:val="21"/>
          <w14:textFill>
            <w14:solidFill>
              <w14:schemeClr w14:val="tx1"/>
            </w14:solidFill>
          </w14:textFill>
        </w:rPr>
        <w:t>取天付、</w:t>
      </w:r>
      <w:r>
        <w:rPr>
          <w:rFonts w:hint="eastAsia" w:ascii="宋体" w:hAnsi="宋体" w:eastAsia="宋体" w:cs="宋体"/>
          <w:b/>
          <w:color w:val="000000" w:themeColor="text1"/>
          <w:kern w:val="0"/>
          <w:szCs w:val="21"/>
          <w14:textFill>
            <w14:solidFill>
              <w14:schemeClr w14:val="tx1"/>
            </w14:solidFill>
          </w14:textFill>
        </w:rPr>
        <w:t>月付</w:t>
      </w:r>
      <w:r>
        <w:rPr>
          <w:rFonts w:ascii="宋体" w:hAnsi="宋体" w:eastAsia="宋体" w:cs="宋体"/>
          <w:b/>
          <w:color w:val="000000" w:themeColor="text1"/>
          <w:kern w:val="0"/>
          <w:szCs w:val="21"/>
          <w14:textFill>
            <w14:solidFill>
              <w14:schemeClr w14:val="tx1"/>
            </w14:solidFill>
          </w14:textFill>
        </w:rPr>
        <w:t>、季付、</w:t>
      </w:r>
      <w:r>
        <w:rPr>
          <w:rFonts w:hint="eastAsia" w:ascii="宋体" w:hAnsi="宋体" w:eastAsia="宋体" w:cs="宋体"/>
          <w:b/>
          <w:color w:val="000000" w:themeColor="text1"/>
          <w:kern w:val="0"/>
          <w:szCs w:val="21"/>
          <w14:textFill>
            <w14:solidFill>
              <w14:schemeClr w14:val="tx1"/>
            </w14:solidFill>
          </w14:textFill>
        </w:rPr>
        <w:t>半年付、年</w:t>
      </w:r>
      <w:r>
        <w:rPr>
          <w:rFonts w:ascii="宋体" w:hAnsi="宋体" w:eastAsia="宋体" w:cs="宋体"/>
          <w:b/>
          <w:color w:val="000000" w:themeColor="text1"/>
          <w:kern w:val="0"/>
          <w:szCs w:val="21"/>
          <w14:textFill>
            <w14:solidFill>
              <w14:schemeClr w14:val="tx1"/>
            </w14:solidFill>
          </w14:textFill>
        </w:rPr>
        <w:t>付等多种方式</w:t>
      </w:r>
      <w:r>
        <w:rPr>
          <w:rFonts w:hint="eastAsia" w:ascii="宋体" w:hAnsi="宋体" w:eastAsia="宋体" w:cs="宋体"/>
          <w:b/>
          <w:color w:val="000000" w:themeColor="text1"/>
          <w:kern w:val="0"/>
          <w:szCs w:val="21"/>
          <w14:textFill>
            <w14:solidFill>
              <w14:schemeClr w14:val="tx1"/>
            </w14:solidFill>
          </w14:textFill>
        </w:rPr>
        <w:t>进行收</w:t>
      </w:r>
      <w:r>
        <w:rPr>
          <w:rFonts w:hint="eastAsia" w:ascii="宋体" w:hAnsi="宋体" w:eastAsia="宋体" w:cs="宋体"/>
          <w:b/>
          <w:kern w:val="0"/>
          <w:szCs w:val="21"/>
        </w:rPr>
        <w:t>费</w:t>
      </w:r>
      <w:r>
        <w:rPr>
          <w:rFonts w:ascii="宋体" w:hAnsi="宋体" w:eastAsia="宋体" w:cs="宋体"/>
          <w:b/>
          <w:kern w:val="0"/>
          <w:szCs w:val="21"/>
        </w:rPr>
        <w:t>，</w:t>
      </w:r>
      <w:r>
        <w:rPr>
          <w:rFonts w:hint="eastAsia" w:ascii="宋体" w:hAnsi="宋体" w:eastAsia="宋体" w:cs="宋体"/>
          <w:b/>
          <w:kern w:val="0"/>
          <w:szCs w:val="21"/>
        </w:rPr>
        <w:t>甲方</w:t>
      </w:r>
      <w:r>
        <w:rPr>
          <w:rFonts w:ascii="宋体" w:hAnsi="宋体" w:eastAsia="宋体" w:cs="宋体"/>
          <w:b/>
          <w:kern w:val="0"/>
          <w:szCs w:val="21"/>
        </w:rPr>
        <w:t>可根据自身情况选择支付方式及支付周期</w:t>
      </w:r>
      <w:r>
        <w:rPr>
          <w:rFonts w:hint="eastAsia" w:ascii="宋体" w:hAnsi="宋体" w:eastAsia="宋体" w:cs="宋体"/>
          <w:b/>
          <w:kern w:val="0"/>
          <w:szCs w:val="21"/>
        </w:rPr>
        <w:t>。乙方保留根据产品功能升级进行价格调整的权利，乙方</w:t>
      </w:r>
      <w:r>
        <w:rPr>
          <w:rFonts w:ascii="宋体" w:hAnsi="宋体" w:eastAsia="宋体" w:cs="宋体"/>
          <w:b/>
          <w:kern w:val="0"/>
          <w:szCs w:val="21"/>
        </w:rPr>
        <w:t>如对价格</w:t>
      </w:r>
      <w:r>
        <w:rPr>
          <w:rFonts w:hint="eastAsia" w:ascii="宋体" w:hAnsi="宋体" w:eastAsia="宋体" w:cs="宋体"/>
          <w:b/>
          <w:kern w:val="0"/>
          <w:szCs w:val="21"/>
        </w:rPr>
        <w:t>进行</w:t>
      </w:r>
      <w:r>
        <w:rPr>
          <w:rFonts w:ascii="宋体" w:hAnsi="宋体" w:eastAsia="宋体" w:cs="宋体"/>
          <w:b/>
          <w:kern w:val="0"/>
          <w:szCs w:val="21"/>
        </w:rPr>
        <w:t>调整，将在乙方APP、</w:t>
      </w:r>
      <w:r>
        <w:rPr>
          <w:rFonts w:hint="eastAsia" w:ascii="宋体" w:hAnsi="宋体" w:eastAsia="宋体" w:cs="宋体"/>
          <w:b/>
          <w:kern w:val="0"/>
          <w:szCs w:val="21"/>
        </w:rPr>
        <w:t>或乙方</w:t>
      </w:r>
      <w:r>
        <w:rPr>
          <w:rFonts w:ascii="宋体" w:hAnsi="宋体" w:eastAsia="宋体" w:cs="宋体"/>
          <w:b/>
          <w:kern w:val="0"/>
          <w:szCs w:val="21"/>
        </w:rPr>
        <w:t>官网或者营业部公告。</w:t>
      </w:r>
    </w:p>
    <w:p>
      <w:pPr>
        <w:rPr>
          <w:b/>
        </w:rPr>
      </w:pPr>
      <w:r>
        <w:rPr>
          <w:rFonts w:ascii="宋体" w:hAnsi="宋体" w:eastAsia="宋体" w:cs="宋体"/>
          <w:b/>
          <w:kern w:val="0"/>
          <w:szCs w:val="21"/>
        </w:rPr>
        <w:t>第十</w:t>
      </w:r>
      <w:r>
        <w:rPr>
          <w:rFonts w:hint="eastAsia" w:ascii="宋体" w:hAnsi="宋体" w:eastAsia="宋体" w:cs="宋体"/>
          <w:b/>
          <w:kern w:val="0"/>
          <w:szCs w:val="21"/>
        </w:rPr>
        <w:t>五</w:t>
      </w:r>
      <w:r>
        <w:rPr>
          <w:rFonts w:ascii="宋体" w:hAnsi="宋体" w:eastAsia="宋体" w:cs="宋体"/>
          <w:b/>
          <w:kern w:val="0"/>
          <w:szCs w:val="21"/>
        </w:rPr>
        <w:t>条 甲方应按照前述选择的支付方式</w:t>
      </w:r>
      <w:r>
        <w:rPr>
          <w:rFonts w:hint="eastAsia" w:ascii="宋体" w:hAnsi="宋体" w:eastAsia="宋体" w:cs="宋体"/>
          <w:b/>
          <w:kern w:val="0"/>
          <w:szCs w:val="21"/>
        </w:rPr>
        <w:t>和</w:t>
      </w:r>
      <w:r>
        <w:rPr>
          <w:rFonts w:ascii="宋体" w:hAnsi="宋体" w:eastAsia="宋体" w:cs="宋体"/>
          <w:b/>
          <w:kern w:val="0"/>
          <w:szCs w:val="21"/>
        </w:rPr>
        <w:t>支付周期，在</w:t>
      </w:r>
      <w:r>
        <w:rPr>
          <w:rFonts w:hint="eastAsia" w:ascii="宋体" w:hAnsi="宋体" w:eastAsia="宋体" w:cs="宋体"/>
          <w:b/>
          <w:kern w:val="0"/>
          <w:szCs w:val="21"/>
        </w:rPr>
        <w:t>签订本协议时或按照约定的支付时间</w:t>
      </w:r>
      <w:r>
        <w:rPr>
          <w:rFonts w:ascii="宋体" w:hAnsi="宋体" w:eastAsia="宋体" w:cs="宋体"/>
          <w:b/>
          <w:kern w:val="0"/>
          <w:szCs w:val="21"/>
        </w:rPr>
        <w:t>向乙方支付</w:t>
      </w:r>
      <w:r>
        <w:rPr>
          <w:rFonts w:hint="eastAsia" w:ascii="宋体" w:hAnsi="宋体" w:eastAsia="宋体" w:cs="宋体"/>
          <w:b/>
          <w:kern w:val="0"/>
          <w:szCs w:val="21"/>
        </w:rPr>
        <w:t>本服务</w:t>
      </w:r>
      <w:r>
        <w:rPr>
          <w:rFonts w:ascii="宋体" w:hAnsi="宋体" w:eastAsia="宋体" w:cs="宋体"/>
          <w:b/>
          <w:kern w:val="0"/>
          <w:szCs w:val="21"/>
        </w:rPr>
        <w:t>使用费。甲方未按约定支付使用费的，乙方有权在当期交费期限届满之日起立即终止对甲方提供本服务。</w:t>
      </w:r>
    </w:p>
    <w:p>
      <w:pPr>
        <w:rPr>
          <w:b/>
        </w:rPr>
      </w:pPr>
      <w:r>
        <w:rPr>
          <w:rFonts w:hint="eastAsia"/>
          <w:b/>
        </w:rPr>
        <w:t>第十六条  收费标准请详见</w:t>
      </w:r>
      <w:r>
        <w:rPr>
          <w:rFonts w:hint="default"/>
          <w:b/>
        </w:rPr>
        <w:t>“小方APP”或“方正证券小方”微信公众号中</w:t>
      </w:r>
      <w:r>
        <w:rPr>
          <w:rFonts w:hint="eastAsia"/>
          <w:b/>
        </w:rPr>
        <w:t>“智能研报”功能页面。</w:t>
      </w:r>
    </w:p>
    <w:p>
      <w:pPr>
        <w:rPr>
          <w:color w:val="BFBFBF" w:themeColor="background1" w:themeShade="BF"/>
        </w:rPr>
      </w:pPr>
    </w:p>
    <w:p>
      <w:pPr>
        <w:jc w:val="center"/>
        <w:rPr>
          <w:b/>
          <w:bCs/>
        </w:rPr>
      </w:pPr>
      <w:r>
        <w:rPr>
          <w:rFonts w:hint="eastAsia"/>
          <w:b/>
          <w:bCs/>
        </w:rPr>
        <w:t>第六章       服务期限</w:t>
      </w:r>
    </w:p>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第十七条  按照本协议约定的服务期限执行，或按照任何双方解除或终止本协议之日为止。</w:t>
      </w:r>
    </w:p>
    <w:p/>
    <w:p>
      <w:pPr>
        <w:jc w:val="center"/>
        <w:rPr>
          <w:b/>
          <w:bCs/>
        </w:rPr>
      </w:pPr>
      <w:r>
        <w:rPr>
          <w:rFonts w:hint="eastAsia"/>
          <w:b/>
          <w:bCs/>
        </w:rPr>
        <w:t>第七章       协议的生效、变更和终止</w:t>
      </w:r>
    </w:p>
    <w:p/>
    <w:p>
      <w:r>
        <w:rPr>
          <w:rFonts w:hint="eastAsia"/>
        </w:rPr>
        <w:t>第十八条  本协议书经甲方提交，乙方确认后生效。</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第十九条  甲方如在本协议签订后，提出解除本协议，须以甲方选择的收费标准，按日为一个支付单位向乙方支付服务费，如果是通过账户保证金划转方式支付的，服务费退还至原账户内，如果是通过微信、支付宝等第三方支付平台支付的，</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个月内的订单按原路退还，超过</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个月的订单则退还至原交易账户内。</w:t>
      </w:r>
    </w:p>
    <w:p>
      <w:r>
        <w:rPr>
          <w:rFonts w:hint="eastAsia"/>
        </w:rPr>
        <w:t>第二十条   若有关法律、法规、规章及行业协会规定做出修订，本协议条款与前述法律等有冲突的，按新修订的法律、法规、规章及行业协会规定执行。</w:t>
      </w:r>
    </w:p>
    <w:p>
      <w:pPr>
        <w:rPr>
          <w:b/>
        </w:rPr>
      </w:pPr>
      <w:r>
        <w:rPr>
          <w:rFonts w:hint="eastAsia"/>
          <w:b/>
        </w:rPr>
        <w:t>第二十一条    乙方有权在法律、行政法规或其他规范性文件、交易所和中国结算业务规则以及根据</w:t>
      </w:r>
      <w:r>
        <w:rPr>
          <w:b/>
        </w:rPr>
        <w:t>乙方自身的商业</w:t>
      </w:r>
      <w:r>
        <w:rPr>
          <w:rFonts w:hint="eastAsia"/>
          <w:b/>
        </w:rPr>
        <w:t>判断等情况，</w:t>
      </w:r>
      <w:r>
        <w:rPr>
          <w:b/>
        </w:rPr>
        <w:t>单方面</w:t>
      </w:r>
      <w:r>
        <w:rPr>
          <w:rFonts w:hint="eastAsia"/>
          <w:b/>
        </w:rPr>
        <w:t>修改本协议条款。乙方修改本协议条款的，将通过乙方APP、官方网站或乙方营业场所公告等方式之一通知甲方。甲方有异议的，可以在3日内向乙方以书面方式提出并解除本协议，甲方应向乙方支付至本协议解除之日止的服务费，否则视为甲方接受本协议条款的修改。</w:t>
      </w:r>
    </w:p>
    <w:p>
      <w:pPr>
        <w:jc w:val="center"/>
        <w:rPr>
          <w:b/>
          <w:bCs/>
        </w:rPr>
      </w:pPr>
    </w:p>
    <w:p>
      <w:pPr>
        <w:jc w:val="center"/>
        <w:rPr>
          <w:b/>
          <w:bCs/>
        </w:rPr>
      </w:pPr>
      <w:r>
        <w:rPr>
          <w:rFonts w:hint="eastAsia"/>
          <w:b/>
          <w:bCs/>
        </w:rPr>
        <w:t>第八章       免责条款</w:t>
      </w:r>
    </w:p>
    <w:p/>
    <w:p>
      <w:r>
        <w:rPr>
          <w:rFonts w:hint="eastAsia"/>
        </w:rPr>
        <w:t>第二十二条    因不可抗力(如地震、洪水等自然灾害，战争，暴乱等)、通讯线路故障、通讯技术缺陷及客户的设备未能处于正常工作状态或设备设置不当等原因致使乙方无法正常提供本服务而使本协议部分或全部不能履行的，乙方不承担任何责任。</w:t>
      </w:r>
    </w:p>
    <w:p>
      <w:r>
        <w:rPr>
          <w:rFonts w:hint="eastAsia"/>
        </w:rPr>
        <w:t>第二十三条    根据国家有关法律、法规、规章、监管规定或司法机构、行政管理机关的要求，乙方终止“智能研报”服务的，乙方不承担任何责任。</w:t>
      </w:r>
    </w:p>
    <w:p/>
    <w:p>
      <w:pPr>
        <w:jc w:val="center"/>
        <w:rPr>
          <w:b/>
          <w:bCs/>
        </w:rPr>
      </w:pPr>
      <w:r>
        <w:rPr>
          <w:rFonts w:hint="eastAsia"/>
          <w:b/>
          <w:bCs/>
        </w:rPr>
        <w:t>第九章       争议解决</w:t>
      </w:r>
    </w:p>
    <w:p/>
    <w:p>
      <w:r>
        <w:rPr>
          <w:rFonts w:hint="eastAsia"/>
        </w:rPr>
        <w:t xml:space="preserve">第二十四条   </w:t>
      </w:r>
      <w:r>
        <w:rPr>
          <w:b/>
        </w:rPr>
        <w:t xml:space="preserve"> </w:t>
      </w:r>
      <w:r>
        <w:rPr>
          <w:rFonts w:hint="eastAsia"/>
          <w:b/>
        </w:rPr>
        <w:t>如甲乙双方在履行本协议过程中发生争议，应先协商解决。协商不成的，可向乙方住所地人民法院提起诉讼。</w:t>
      </w:r>
    </w:p>
    <w:p/>
    <w:p>
      <w:pPr>
        <w:jc w:val="center"/>
        <w:rPr>
          <w:b/>
          <w:bCs/>
        </w:rPr>
      </w:pPr>
      <w:r>
        <w:rPr>
          <w:rFonts w:hint="eastAsia"/>
          <w:b/>
          <w:bCs/>
        </w:rPr>
        <w:t>第十章       附则</w:t>
      </w:r>
    </w:p>
    <w:p/>
    <w:p>
      <w:r>
        <w:rPr>
          <w:rFonts w:hint="eastAsia"/>
        </w:rPr>
        <w:t>第二十五条    甲乙双方必须严格遵守有关法律、法规、规章、证券登记结算机构业务规则以及证券交易所交易规则的规定。</w:t>
      </w:r>
    </w:p>
    <w:p>
      <w:r>
        <w:rPr>
          <w:rFonts w:hint="eastAsia"/>
        </w:rPr>
        <w:t>第二十六条    本协议所涉及名词、术语的解释，以法律法规的规定为准；法律法规对此没有解释的，适用证券监督管理机关规范性文件、证券交易所和证券登记结算机构有关规则及行业规章。</w:t>
      </w:r>
    </w:p>
    <w:p/>
    <w:p/>
    <w:p>
      <w:r>
        <w:rPr>
          <w:rFonts w:hint="eastAsia"/>
        </w:rPr>
        <w:t>甲方（投资者）：                        乙方：方正证券股份有限公司</w:t>
      </w:r>
    </w:p>
    <w:p/>
    <w:p/>
    <w:p>
      <w:r>
        <w:rPr>
          <w:rFonts w:hint="eastAsia"/>
        </w:rPr>
        <w:t>签约日期：   年   月   日              签约日期：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Light">
    <w:altName w:val="Helvetica Neue"/>
    <w:panose1 w:val="020F0302020204030204"/>
    <w:charset w:val="00"/>
    <w:family w:val="swiss"/>
    <w:pitch w:val="default"/>
    <w:sig w:usb0="00000000" w:usb1="00000000" w:usb2="00000000" w:usb3="00000000" w:csb0="0000019F" w:csb1="0000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attachedTemplate r:id="rId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3605D3"/>
    <w:rsid w:val="00031CF3"/>
    <w:rsid w:val="000431D6"/>
    <w:rsid w:val="00047BDE"/>
    <w:rsid w:val="00085A31"/>
    <w:rsid w:val="000C30AD"/>
    <w:rsid w:val="000C5ED2"/>
    <w:rsid w:val="000D541F"/>
    <w:rsid w:val="001070BC"/>
    <w:rsid w:val="00113F73"/>
    <w:rsid w:val="001336E6"/>
    <w:rsid w:val="00187035"/>
    <w:rsid w:val="001906DE"/>
    <w:rsid w:val="001B2F0B"/>
    <w:rsid w:val="001D4672"/>
    <w:rsid w:val="001F304C"/>
    <w:rsid w:val="001F5420"/>
    <w:rsid w:val="00207220"/>
    <w:rsid w:val="00243811"/>
    <w:rsid w:val="00250DC5"/>
    <w:rsid w:val="002B290F"/>
    <w:rsid w:val="00336E53"/>
    <w:rsid w:val="00393AB2"/>
    <w:rsid w:val="00394954"/>
    <w:rsid w:val="003B3ADC"/>
    <w:rsid w:val="003E144E"/>
    <w:rsid w:val="003F6DEC"/>
    <w:rsid w:val="005633E4"/>
    <w:rsid w:val="005953E4"/>
    <w:rsid w:val="005B3A44"/>
    <w:rsid w:val="005B541D"/>
    <w:rsid w:val="00640166"/>
    <w:rsid w:val="006441A3"/>
    <w:rsid w:val="0065163B"/>
    <w:rsid w:val="00653CC7"/>
    <w:rsid w:val="00690F0D"/>
    <w:rsid w:val="006A2DBA"/>
    <w:rsid w:val="006C1F41"/>
    <w:rsid w:val="006C3C52"/>
    <w:rsid w:val="006E3178"/>
    <w:rsid w:val="007C5404"/>
    <w:rsid w:val="007E7483"/>
    <w:rsid w:val="007F14CA"/>
    <w:rsid w:val="007F6F7B"/>
    <w:rsid w:val="00853B0A"/>
    <w:rsid w:val="009250F4"/>
    <w:rsid w:val="00925365"/>
    <w:rsid w:val="00931386"/>
    <w:rsid w:val="00956B97"/>
    <w:rsid w:val="00961ABC"/>
    <w:rsid w:val="0096454C"/>
    <w:rsid w:val="00964CEF"/>
    <w:rsid w:val="00981648"/>
    <w:rsid w:val="009A6299"/>
    <w:rsid w:val="009C3F72"/>
    <w:rsid w:val="00A13805"/>
    <w:rsid w:val="00A22F98"/>
    <w:rsid w:val="00A27C5B"/>
    <w:rsid w:val="00A36BB0"/>
    <w:rsid w:val="00A36E21"/>
    <w:rsid w:val="00A526E8"/>
    <w:rsid w:val="00AA26CA"/>
    <w:rsid w:val="00AB08DB"/>
    <w:rsid w:val="00AB1C3D"/>
    <w:rsid w:val="00AB401F"/>
    <w:rsid w:val="00AF24CC"/>
    <w:rsid w:val="00B126BA"/>
    <w:rsid w:val="00B3214B"/>
    <w:rsid w:val="00BA4326"/>
    <w:rsid w:val="00BD0CE0"/>
    <w:rsid w:val="00BF05B2"/>
    <w:rsid w:val="00C30CFB"/>
    <w:rsid w:val="00C65C1B"/>
    <w:rsid w:val="00C65FDC"/>
    <w:rsid w:val="00C84CC4"/>
    <w:rsid w:val="00CA5694"/>
    <w:rsid w:val="00CD71EA"/>
    <w:rsid w:val="00D41625"/>
    <w:rsid w:val="00D675AE"/>
    <w:rsid w:val="00DA0078"/>
    <w:rsid w:val="00E05059"/>
    <w:rsid w:val="00E54C49"/>
    <w:rsid w:val="00E71F81"/>
    <w:rsid w:val="00E73FDD"/>
    <w:rsid w:val="00E74F8C"/>
    <w:rsid w:val="00F50CEE"/>
    <w:rsid w:val="00F60018"/>
    <w:rsid w:val="00F7083D"/>
    <w:rsid w:val="00F8160C"/>
    <w:rsid w:val="00F82071"/>
    <w:rsid w:val="00FC6CF9"/>
    <w:rsid w:val="00FD7F4F"/>
    <w:rsid w:val="00FE22CC"/>
    <w:rsid w:val="00FF2A62"/>
    <w:rsid w:val="173605D3"/>
    <w:rsid w:val="257A0A46"/>
    <w:rsid w:val="273F51D3"/>
    <w:rsid w:val="365A01F0"/>
    <w:rsid w:val="37EB3BD5"/>
    <w:rsid w:val="38FE7B10"/>
    <w:rsid w:val="3AEDDD1F"/>
    <w:rsid w:val="46074531"/>
    <w:rsid w:val="4EFEC511"/>
    <w:rsid w:val="5ADA7CDC"/>
    <w:rsid w:val="5DFFD209"/>
    <w:rsid w:val="5FD3FD08"/>
    <w:rsid w:val="65780270"/>
    <w:rsid w:val="6D535020"/>
    <w:rsid w:val="6E9360FB"/>
    <w:rsid w:val="79795F43"/>
    <w:rsid w:val="7EFF8EFB"/>
    <w:rsid w:val="7FFEBDB3"/>
    <w:rsid w:val="95B50631"/>
    <w:rsid w:val="99BF3305"/>
    <w:rsid w:val="DBBE662C"/>
    <w:rsid w:val="DFDE2CFA"/>
    <w:rsid w:val="FEDD0C4E"/>
    <w:rsid w:val="FF6F9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9">
    <w:name w:val="annotation reference"/>
    <w:basedOn w:val="8"/>
    <w:qFormat/>
    <w:uiPriority w:val="0"/>
    <w:rPr>
      <w:sz w:val="21"/>
      <w:szCs w:val="21"/>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8"/>
    <w:link w:val="6"/>
    <w:qFormat/>
    <w:uiPriority w:val="0"/>
    <w:rPr>
      <w:kern w:val="2"/>
      <w:sz w:val="18"/>
      <w:szCs w:val="18"/>
    </w:rPr>
  </w:style>
  <w:style w:type="character" w:customStyle="1" w:styleId="13">
    <w:name w:val="页脚 Char"/>
    <w:basedOn w:val="8"/>
    <w:link w:val="5"/>
    <w:qFormat/>
    <w:uiPriority w:val="0"/>
    <w:rPr>
      <w:kern w:val="2"/>
      <w:sz w:val="18"/>
      <w:szCs w:val="18"/>
    </w:rPr>
  </w:style>
  <w:style w:type="character" w:customStyle="1" w:styleId="14">
    <w:name w:val="批注文字 Char"/>
    <w:basedOn w:val="8"/>
    <w:link w:val="3"/>
    <w:qFormat/>
    <w:uiPriority w:val="0"/>
    <w:rPr>
      <w:kern w:val="2"/>
      <w:sz w:val="21"/>
      <w:szCs w:val="24"/>
    </w:rPr>
  </w:style>
  <w:style w:type="character" w:customStyle="1" w:styleId="15">
    <w:name w:val="批注主题 Char"/>
    <w:basedOn w:val="14"/>
    <w:link w:val="2"/>
    <w:qFormat/>
    <w:uiPriority w:val="0"/>
    <w:rPr>
      <w:b/>
      <w:bCs/>
      <w:kern w:val="2"/>
      <w:sz w:val="21"/>
      <w:szCs w:val="24"/>
    </w:rPr>
  </w:style>
  <w:style w:type="character" w:customStyle="1" w:styleId="16">
    <w:name w:val="批注框文本 Char"/>
    <w:basedOn w:val="8"/>
    <w:link w:val="4"/>
    <w:qFormat/>
    <w:uiPriority w:val="0"/>
    <w:rPr>
      <w:kern w:val="2"/>
      <w:sz w:val="18"/>
      <w:szCs w:val="18"/>
    </w:rPr>
  </w:style>
  <w:style w:type="paragraph" w:customStyle="1" w:styleId="17">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8">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oimot/Library/Containers/com.kingsoft.wpsoffice.mac/Data/C:\Users\lf\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3</Pages>
  <Words>435</Words>
  <Characters>2484</Characters>
  <Lines>20</Lines>
  <Paragraphs>5</Paragraphs>
  <ScaleCrop>false</ScaleCrop>
  <LinksUpToDate>false</LinksUpToDate>
  <CharactersWithSpaces>2914</CharactersWithSpaces>
  <Application>WPS Office_1.3.1.1688_F1E327BC-269C-435d-A152-05C5408002CA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2019-04-14T08:28:00Z</dcterms:created>
  <dc:creator>lf</dc:creator>
  <cp:lastModifiedBy>poimot</cp:lastModifiedBy>
  <dcterms:modified xsi:type="dcterms:W3CDTF">2019-12-25T11:33:34Z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