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jc w:val="center"/>
      </w:pPr>
      <w:bookmarkStart w:id="0" w:name="_GoBack"/>
      <w:bookmarkEnd w:id="0"/>
      <w:r>
        <w:rPr>
          <w:rFonts w:hint="eastAsia"/>
        </w:rPr>
        <w:t>《</w:t>
      </w:r>
      <w:r>
        <w:t>方正证券泉友会服务资讯类投资顾问产品协议书</w:t>
      </w:r>
      <w:r>
        <w:rPr>
          <w:rFonts w:hint="eastAsia"/>
        </w:rPr>
        <w:t>》修订对照表</w:t>
      </w:r>
    </w:p>
    <w:tbl>
      <w:tblPr>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0"/>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center"/>
            </w:pPr>
            <w:r>
              <w:rPr>
                <w:rFonts w:hint="eastAsia"/>
              </w:rPr>
              <w:t>修正前</w:t>
            </w:r>
          </w:p>
        </w:tc>
        <w:tc>
          <w:tcPr>
            <w:tcW w:w="4394" w:type="dxa"/>
            <w:vAlign w:val="top"/>
          </w:tcPr>
          <w:p>
            <w:pPr>
              <w:jc w:val="center"/>
            </w:pPr>
            <w:r>
              <w:rPr>
                <w:rFonts w:hint="eastAsia"/>
              </w:rPr>
              <w:t>修正后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center"/>
              <w:rPr>
                <w:b/>
                <w:bCs/>
              </w:rPr>
            </w:pPr>
            <w:r>
              <w:rPr>
                <w:rFonts w:hint="eastAsia"/>
                <w:b/>
                <w:bCs/>
              </w:rPr>
              <w:t>标题</w:t>
            </w:r>
          </w:p>
        </w:tc>
        <w:tc>
          <w:tcPr>
            <w:tcW w:w="4394" w:type="dxa"/>
            <w:vAlign w:val="top"/>
          </w:tcPr>
          <w:p>
            <w:pPr>
              <w:jc w:val="center"/>
              <w:rPr>
                <w:b/>
                <w:bCs/>
              </w:rPr>
            </w:pPr>
            <w:r>
              <w:rPr>
                <w:rFonts w:hint="eastAsia"/>
                <w:b/>
                <w:bCs/>
              </w:rPr>
              <w:t>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center"/>
            </w:pPr>
            <w:r>
              <w:t>方正证券泉友会服务资讯类投资顾问产品协议书</w:t>
            </w:r>
          </w:p>
        </w:tc>
        <w:tc>
          <w:tcPr>
            <w:tcW w:w="4394" w:type="dxa"/>
            <w:vAlign w:val="top"/>
          </w:tcPr>
          <w:p>
            <w:pPr>
              <w:jc w:val="center"/>
              <w:rPr>
                <w:b/>
                <w:bCs/>
              </w:rPr>
            </w:pPr>
            <w:r>
              <w:t>方正证券资讯类投资顾问产品协议书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center"/>
            </w:pPr>
            <w:r>
              <w:t>依据《中华人民共和国证券法》、《中华人民共和国合同法》、《中华人民共和国电子签名法》、《证券投资顾问业务暂行规定》和其它有关法律、法规、规章的规定，以及中国证券业协会的有关自律规则，客户（以下简称“甲方”）和方正证券股份有限公司（以下简称“乙方”）本着平等、自愿，诚实信用的原则，就乙方向甲方提供的泉友会服务资讯类投资顾问产品相关事项达成如下协议：</w:t>
            </w:r>
          </w:p>
        </w:tc>
        <w:tc>
          <w:tcPr>
            <w:tcW w:w="4394" w:type="dxa"/>
            <w:vAlign w:val="top"/>
          </w:tcPr>
          <w:p>
            <w:pPr>
              <w:jc w:val="left"/>
            </w:pPr>
            <w:r>
              <w:t>依据《中华人民共和国证券法》、《中华人民共和国合同法》、《中华人民共和国电子签名法》、《证券投资顾问业务暂行规定》和其它有关法律、法规、规章的规定，以及中国证券业协会的有关自律规则，客户（以下简称“甲方”）和方正证券股份有限公司（以下简称“乙方”）本着平等、自愿，诚实信用的原则，就乙方向甲方提供的</w:t>
            </w:r>
            <w:r>
              <w:rPr>
                <w:color w:val="FF0000"/>
              </w:rPr>
              <w:t>资讯类投资顾问产品</w:t>
            </w:r>
            <w:r>
              <w:t>相关事项达成如下协议：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center"/>
              <w:rPr>
                <w:b/>
                <w:bCs/>
              </w:rPr>
            </w:pPr>
            <w:r>
              <w:rPr>
                <w:b/>
                <w:bCs/>
              </w:rPr>
              <w:t>第一章  双方声明及承诺</w:t>
            </w:r>
          </w:p>
        </w:tc>
        <w:tc>
          <w:tcPr>
            <w:tcW w:w="4394" w:type="dxa"/>
            <w:vAlign w:val="top"/>
          </w:tcPr>
          <w:p>
            <w:pPr>
              <w:jc w:val="center"/>
            </w:pPr>
            <w:r>
              <w:rPr>
                <w:b/>
                <w:bCs/>
              </w:rPr>
              <w:t>第一章  双方声明及承诺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r>
              <w:t>第一条   甲方系证券市场合法投资者，知晓证券市场有风险，已详细阅读并充分理解乙方提供的《方正证券泉友会服务资讯类投资顾问产品风险揭示书》及本协议的所有条款，原意承担相应风险。甲方确认提交本协议书的，视为甲方已签署本协议书，并自愿遵守本协议书的约定。</w:t>
            </w:r>
          </w:p>
        </w:tc>
        <w:tc>
          <w:tcPr>
            <w:tcW w:w="4394" w:type="dxa"/>
            <w:vAlign w:val="top"/>
          </w:tcPr>
          <w:p>
            <w:pPr>
              <w:jc w:val="left"/>
            </w:pPr>
            <w:r>
              <w:t>第一条   甲方系证券市场合法投资者，知晓证券市场有风险，已详细阅读并充分理解乙方提供的</w:t>
            </w:r>
            <w:r>
              <w:rPr>
                <w:color w:val="FF0000"/>
              </w:rPr>
              <w:t>《方正证券资讯类投资顾问产品风险揭示书》</w:t>
            </w:r>
            <w:r>
              <w:t>及本协议的所有条款，原意承担相应风险。甲方确认提交本协议书的，视为甲方已签署本协议书，并自愿遵守本协议书的约定。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center"/>
              <w:rPr>
                <w:b/>
                <w:bCs/>
              </w:rPr>
            </w:pPr>
            <w:r>
              <w:rPr>
                <w:b/>
                <w:bCs/>
              </w:rPr>
              <w:t>第</w:t>
            </w:r>
            <w:r>
              <w:rPr>
                <w:rFonts w:hint="eastAsia"/>
                <w:b/>
                <w:bCs/>
              </w:rPr>
              <w:t>六</w:t>
            </w:r>
            <w:r>
              <w:rPr>
                <w:b/>
                <w:bCs/>
              </w:rPr>
              <w:t>章  服务费支付方式</w:t>
            </w:r>
          </w:p>
        </w:tc>
        <w:tc>
          <w:tcPr>
            <w:tcW w:w="4394" w:type="dxa"/>
            <w:vAlign w:val="top"/>
          </w:tcPr>
          <w:p>
            <w:pPr>
              <w:jc w:val="center"/>
              <w:rPr>
                <w:b/>
                <w:bCs/>
              </w:rPr>
            </w:pPr>
            <w:r>
              <w:rPr>
                <w:b/>
                <w:bCs/>
              </w:rPr>
              <w:t>第</w:t>
            </w:r>
            <w:r>
              <w:rPr>
                <w:rFonts w:hint="eastAsia"/>
                <w:b/>
                <w:bCs/>
              </w:rPr>
              <w:t>六</w:t>
            </w:r>
            <w:r>
              <w:rPr>
                <w:b/>
                <w:bCs/>
              </w:rPr>
              <w:t>章  服务费支付方式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p>
        </w:tc>
        <w:tc>
          <w:tcPr>
            <w:tcW w:w="4394" w:type="dxa"/>
            <w:vAlign w:val="top"/>
          </w:tcPr>
          <w:p>
            <w:pPr>
              <w:jc w:val="left"/>
              <w:rPr>
                <w:b/>
                <w:bCs/>
                <w:color w:val="FF0000"/>
              </w:rPr>
            </w:pPr>
            <w:r>
              <w:rPr>
                <w:rFonts w:hint="eastAsia"/>
                <w:b/>
                <w:bCs/>
                <w:color w:val="FF0000"/>
              </w:rPr>
              <w:t>新增条款</w:t>
            </w:r>
          </w:p>
          <w:p>
            <w:pPr>
              <w:jc w:val="left"/>
              <w:rPr>
                <w:b/>
                <w:bCs/>
              </w:rPr>
            </w:pPr>
            <w:r>
              <w:rPr>
                <w:b/>
                <w:bCs/>
              </w:rPr>
              <w:t>第二十条  甲方选择固定收费方式的，在本协议签订之日， 甲方可根据自身情况选择支付方式及支付周期。乙方保留根据产品功能升级进行价格调整的权利，乙方如对价格进行调整，将通过乙方官网、客户端或者营业部等方式之一进行公告。甲方应按照前述选择的支付方式和支付周期，在签订本协议时或按照约定的支付时间向乙方支付本服务使用费。甲方未按约定支付使用费的，乙方有权在当期交费期限届满之日起立即终止对甲方提供本服务。收费标准以甲方购买产品时乙方产品页面展示信息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r>
              <w:rPr>
                <w:rFonts w:hint="eastAsia"/>
              </w:rPr>
              <w:t>第二十条序号</w:t>
            </w:r>
          </w:p>
        </w:tc>
        <w:tc>
          <w:tcPr>
            <w:tcW w:w="4394" w:type="dxa"/>
            <w:vAlign w:val="top"/>
          </w:tcPr>
          <w:p>
            <w:pPr>
              <w:jc w:val="left"/>
              <w:rPr>
                <w:b/>
                <w:bCs/>
                <w:color w:val="FF0000"/>
              </w:rPr>
            </w:pPr>
            <w:r>
              <w:rPr>
                <w:rFonts w:hint="eastAsia"/>
                <w:b/>
                <w:bCs/>
                <w:color w:val="FF0000"/>
              </w:rPr>
              <w:t>原第二十条序号变更为第二十一条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center"/>
              <w:rPr>
                <w:b/>
                <w:bCs/>
              </w:rPr>
            </w:pPr>
            <w:r>
              <w:rPr>
                <w:b/>
                <w:bCs/>
              </w:rPr>
              <w:t>第</w:t>
            </w:r>
            <w:r>
              <w:rPr>
                <w:rFonts w:hint="eastAsia"/>
                <w:b/>
                <w:bCs/>
              </w:rPr>
              <w:t>七</w:t>
            </w:r>
            <w:r>
              <w:rPr>
                <w:b/>
                <w:bCs/>
              </w:rPr>
              <w:t xml:space="preserve">章  </w:t>
            </w:r>
            <w:r>
              <w:rPr>
                <w:rFonts w:hint="eastAsia"/>
                <w:b/>
                <w:bCs/>
              </w:rPr>
              <w:t>服务期限</w:t>
            </w:r>
          </w:p>
        </w:tc>
        <w:tc>
          <w:tcPr>
            <w:tcW w:w="4394" w:type="dxa"/>
            <w:vAlign w:val="top"/>
          </w:tcPr>
          <w:p>
            <w:pPr>
              <w:jc w:val="center"/>
              <w:rPr>
                <w:b/>
                <w:bCs/>
              </w:rPr>
            </w:pPr>
            <w:r>
              <w:rPr>
                <w:b/>
                <w:bCs/>
              </w:rPr>
              <w:t>第</w:t>
            </w:r>
            <w:r>
              <w:rPr>
                <w:rFonts w:hint="eastAsia"/>
                <w:b/>
                <w:bCs/>
              </w:rPr>
              <w:t>七</w:t>
            </w:r>
            <w:r>
              <w:rPr>
                <w:b/>
                <w:bCs/>
              </w:rPr>
              <w:t xml:space="preserve">章  </w:t>
            </w:r>
            <w:r>
              <w:rPr>
                <w:rFonts w:hint="eastAsia"/>
                <w:b/>
                <w:bCs/>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r>
              <w:t>第二十一条     为了保证甲乙双方能实现有效合作，服务期限不得少于三个月。甲方如在本协议签订5个工作日后至3个月内提出解除本协议的，除应支付实际发生的投资顾问服务费外，还应向乙方支付500元人民币的违约金；除本协议第五条、第九条及甲方存在违约等情况外，如果乙方在本协议签订后三个月内提出解除本协议的，需向甲方支付500元人民币的违约金。</w:t>
            </w:r>
          </w:p>
        </w:tc>
        <w:tc>
          <w:tcPr>
            <w:tcW w:w="4394" w:type="dxa"/>
            <w:vAlign w:val="top"/>
          </w:tcPr>
          <w:p>
            <w:pPr>
              <w:jc w:val="center"/>
              <w:rPr>
                <w:b/>
                <w:bCs/>
              </w:rPr>
            </w:pPr>
            <w:r>
              <w:rPr>
                <w:rFonts w:hint="eastAsia"/>
                <w:b/>
                <w:bCs/>
                <w:color w:val="FF0000"/>
              </w:rPr>
              <w:t>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center"/>
            </w:pPr>
            <w:r>
              <w:rPr>
                <w:b/>
                <w:bCs/>
              </w:rPr>
              <w:t>第八章  协议的生效、变更和终止</w:t>
            </w:r>
          </w:p>
        </w:tc>
        <w:tc>
          <w:tcPr>
            <w:tcW w:w="4394" w:type="dxa"/>
            <w:vAlign w:val="top"/>
          </w:tcPr>
          <w:p>
            <w:pPr>
              <w:jc w:val="center"/>
              <w:rPr>
                <w:b/>
                <w:bCs/>
              </w:rPr>
            </w:pPr>
            <w:r>
              <w:rPr>
                <w:b/>
                <w:bCs/>
              </w:rPr>
              <w:t>第八章  协议的生效、变更和终止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p>
        </w:tc>
        <w:tc>
          <w:tcPr>
            <w:tcW w:w="4394" w:type="dxa"/>
            <w:vAlign w:val="top"/>
          </w:tcPr>
          <w:p>
            <w:pPr>
              <w:jc w:val="left"/>
              <w:rPr>
                <w:b/>
                <w:bCs/>
                <w:color w:val="FF0000"/>
              </w:rPr>
            </w:pPr>
            <w:r>
              <w:rPr>
                <w:rFonts w:hint="eastAsia"/>
                <w:b/>
                <w:bCs/>
                <w:color w:val="FF0000"/>
              </w:rPr>
              <w:t>新增条款</w:t>
            </w:r>
          </w:p>
          <w:p>
            <w:r>
              <w:t>第二十三条　甲方采用固定收费方式的，本协议约定服务期限按双方约定的（甲方签约购买时所选择的期限）执行；如甲方采用其他收费方式的，本协议约定服务期限自本协议签订之日至本协议解除或终止之日止。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p>
        </w:tc>
        <w:tc>
          <w:tcPr>
            <w:tcW w:w="4394" w:type="dxa"/>
            <w:vAlign w:val="top"/>
          </w:tcPr>
          <w:p>
            <w:pPr>
              <w:jc w:val="left"/>
              <w:rPr>
                <w:b/>
                <w:bCs/>
                <w:color w:val="FF0000"/>
              </w:rPr>
            </w:pPr>
            <w:r>
              <w:rPr>
                <w:rFonts w:hint="eastAsia"/>
                <w:b/>
                <w:bCs/>
                <w:color w:val="FF0000"/>
              </w:rPr>
              <w:t>新增条款</w:t>
            </w:r>
          </w:p>
          <w:p>
            <w:r>
              <w:t>第二十四条　甲方在签订期内可通过小方APP向乙方提出解除本协议，乙方系统确认后协议解除，在解除协议后的第二个工作日不再收取服务费用；对选择固定收费方式的，须以甲方选择的收费标准，按日为一个支付单位向乙方支付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p>
        </w:tc>
        <w:tc>
          <w:tcPr>
            <w:tcW w:w="4394" w:type="dxa"/>
            <w:vAlign w:val="top"/>
          </w:tcPr>
          <w:p>
            <w:pPr>
              <w:jc w:val="left"/>
              <w:rPr>
                <w:b/>
                <w:bCs/>
                <w:color w:val="FF0000"/>
              </w:rPr>
            </w:pPr>
            <w:r>
              <w:rPr>
                <w:rFonts w:hint="eastAsia"/>
                <w:b/>
                <w:bCs/>
                <w:color w:val="FF0000"/>
              </w:rPr>
              <w:t>新增条款</w:t>
            </w:r>
          </w:p>
          <w:p>
            <w:pPr>
              <w:jc w:val="left"/>
            </w:pPr>
            <w:r>
              <w:t>第二十五条 甲方如果是通过账户保证金划转方式支付的，服务费退还至原账户内，如果是通过微信、支付宝等第三方支付平台支付的，12个月内退订按原支付方式退还，超过12个月退订则退还至原交易账户内。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90" w:type="dxa"/>
            <w:vAlign w:val="top"/>
          </w:tcPr>
          <w:p>
            <w:pPr>
              <w:jc w:val="left"/>
            </w:pPr>
            <w:r>
              <w:rPr>
                <w:rFonts w:hint="eastAsia"/>
              </w:rPr>
              <w:t>第二十三条至第三十二条序号</w:t>
            </w:r>
          </w:p>
        </w:tc>
        <w:tc>
          <w:tcPr>
            <w:tcW w:w="4394" w:type="dxa"/>
            <w:vAlign w:val="top"/>
          </w:tcPr>
          <w:p>
            <w:pPr>
              <w:jc w:val="left"/>
              <w:rPr>
                <w:b/>
                <w:bCs/>
                <w:color w:val="FF0000"/>
              </w:rPr>
            </w:pPr>
            <w:r>
              <w:rPr>
                <w:rFonts w:hint="eastAsia"/>
                <w:b/>
                <w:bCs/>
                <w:color w:val="FF0000"/>
              </w:rPr>
              <w:t>新增第二十三条、二十四条、二十五条，原第二十三条至第三十二条序号递增三位为第二十六条至三十五条。</w:t>
            </w:r>
          </w:p>
        </w:tc>
      </w:tr>
    </w:tbl>
    <w:p>
      <w:pPr>
        <w:jc w:val="cente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paragraph" w:styleId="3">
    <w:name w:val="Balloon Text"/>
    <w:basedOn w:val="1"/>
    <w:link w:val="7"/>
    <w:semiHidden/>
    <w:unhideWhenUsed/>
    <w:uiPriority w:val="99"/>
    <w:rPr>
      <w:rFonts w:ascii="宋体" w:eastAsia="宋体"/>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3"/>
    <w:semiHidden/>
    <w:uiPriority w:val="99"/>
    <w:rPr>
      <w:rFonts w:ascii="宋体" w:eastAsia="宋体"/>
      <w:sz w:val="18"/>
      <w:szCs w:val="18"/>
    </w:rPr>
  </w:style>
  <w:style w:type="character" w:customStyle="1" w:styleId="8">
    <w:name w:val="标题 1 字符"/>
    <w:basedOn w:val="6"/>
    <w:link w:val="2"/>
    <w:uiPriority w:val="9"/>
    <w:rPr>
      <w:b/>
      <w:bCs/>
      <w:kern w:val="44"/>
      <w:sz w:val="44"/>
      <w:szCs w:val="44"/>
    </w:rPr>
  </w:style>
  <w:style w:type="character" w:customStyle="1" w:styleId="9">
    <w:name w:val="页眉 字符"/>
    <w:basedOn w:val="6"/>
    <w:link w:val="5"/>
    <w:uiPriority w:val="99"/>
    <w:rPr>
      <w:sz w:val="18"/>
      <w:szCs w:val="18"/>
    </w:rPr>
  </w:style>
  <w:style w:type="character" w:customStyle="1" w:styleId="10">
    <w:name w:val="页脚 字符"/>
    <w:basedOn w:val="6"/>
    <w:link w:val="4"/>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239</Words>
  <Characters>1365</Characters>
  <Lines>11</Lines>
  <Paragraphs>3</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2019-10-24T01:36:00Z</dcterms:created>
  <dc:creator>smg</dc:creator>
  <cp:lastModifiedBy>Foundersc</cp:lastModifiedBy>
  <dcterms:modified xsi:type="dcterms:W3CDTF">2019-10-25T06:37:20Z</dcterms:modified>
  <dc:title>《方正证券泉友会服务资讯类投资顾问产品协议书》修订对照表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