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pPr>
      <w:r>
        <w:rPr>
          <w:rFonts w:hint="eastAsia"/>
        </w:rPr>
        <w:t>《</w:t>
      </w:r>
      <w:r>
        <w:t>方正证券投资顾问服务产品协议书</w:t>
      </w:r>
      <w:r>
        <w:rPr>
          <w:rFonts w:hint="eastAsia"/>
        </w:rPr>
        <w:t>》</w:t>
      </w:r>
    </w:p>
    <w:p>
      <w:pPr>
        <w:pStyle w:val="2"/>
        <w:jc w:val="center"/>
      </w:pPr>
      <w:r>
        <w:rPr>
          <w:rFonts w:hint="eastAsia"/>
        </w:rPr>
        <w:t>修订对照表</w:t>
      </w:r>
    </w:p>
    <w:tbl>
      <w:tblPr>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0"/>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center"/>
            </w:pPr>
            <w:r>
              <w:rPr>
                <w:rFonts w:hint="eastAsia"/>
              </w:rPr>
              <w:t>修正前</w:t>
            </w:r>
          </w:p>
        </w:tc>
        <w:tc>
          <w:tcPr>
            <w:tcW w:w="4394" w:type="dxa"/>
            <w:vAlign w:val="top"/>
          </w:tcPr>
          <w:p>
            <w:pPr>
              <w:jc w:val="center"/>
            </w:pPr>
            <w:r>
              <w:rPr>
                <w:rFonts w:hint="eastAsia"/>
              </w:rPr>
              <w:t>修正后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center"/>
              <w:rPr>
                <w:b/>
                <w:bCs/>
              </w:rPr>
            </w:pPr>
            <w:r>
              <w:rPr>
                <w:b/>
                <w:bCs/>
              </w:rPr>
              <w:t>第</w:t>
            </w:r>
            <w:r>
              <w:rPr>
                <w:rFonts w:hint="eastAsia"/>
                <w:b/>
                <w:bCs/>
              </w:rPr>
              <w:t>六</w:t>
            </w:r>
            <w:r>
              <w:rPr>
                <w:b/>
                <w:bCs/>
              </w:rPr>
              <w:t>章  服务费支付方式</w:t>
            </w:r>
          </w:p>
        </w:tc>
        <w:tc>
          <w:tcPr>
            <w:tcW w:w="4394" w:type="dxa"/>
            <w:vAlign w:val="top"/>
          </w:tcPr>
          <w:p>
            <w:pPr>
              <w:jc w:val="center"/>
              <w:rPr>
                <w:b/>
                <w:bCs/>
              </w:rPr>
            </w:pPr>
            <w:r>
              <w:rPr>
                <w:b/>
                <w:bCs/>
              </w:rPr>
              <w:t>第</w:t>
            </w:r>
            <w:r>
              <w:rPr>
                <w:rFonts w:hint="eastAsia"/>
                <w:b/>
                <w:bCs/>
              </w:rPr>
              <w:t>六</w:t>
            </w:r>
            <w:r>
              <w:rPr>
                <w:b/>
                <w:bCs/>
              </w:rPr>
              <w:t>章  服务费支付方式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t>第二十三条　甲方选择固定收费方式的，在本协议签订之日，甲方授权乙方通过对甲方资金账户进行划款的方式支付。</w:t>
            </w:r>
          </w:p>
        </w:tc>
        <w:tc>
          <w:tcPr>
            <w:tcW w:w="4394" w:type="dxa"/>
            <w:vAlign w:val="top"/>
          </w:tcPr>
          <w:p>
            <w:pPr>
              <w:jc w:val="left"/>
            </w:pPr>
            <w:r>
              <w:rPr>
                <w:b/>
                <w:bCs/>
              </w:rPr>
              <w:t>第二十三条　甲方选择固定收费方式的，在本协议签订之日， 甲方可根据自身情况选择支付方式及支付周期。乙方保留根据产品功能升级进行价格调整的权利，乙方如对价格进行调整，将通过乙方官网、客户端或者营业部等方式之一进行公告。甲方应按照前述选择的支付方式和支付周期，在签订本协议时或按照约定的支付时间向乙方支付本服务使用费。甲方未按约定支付使用费的，乙方有权在当期交费期限届满之日起立即终止对甲方提供本服务。收费标准以甲方购买产品时乙方产品页面展示信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center"/>
              <w:rPr>
                <w:b/>
                <w:bCs/>
              </w:rPr>
            </w:pPr>
            <w:r>
              <w:rPr>
                <w:b/>
                <w:bCs/>
              </w:rPr>
              <w:t>第七章　服务期限</w:t>
            </w:r>
          </w:p>
        </w:tc>
        <w:tc>
          <w:tcPr>
            <w:tcW w:w="4394" w:type="dxa"/>
            <w:vAlign w:val="top"/>
          </w:tcPr>
          <w:p>
            <w:pPr>
              <w:jc w:val="left"/>
            </w:pPr>
            <w:r>
              <w:rPr>
                <w:rFonts w:hint="eastAsia"/>
                <w:b/>
                <w:bCs/>
                <w:color w:val="FF0000"/>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t>第二十四条　甲方采用固定收费方式的，本协议约定服务期限按双方约定的（甲方签约购买时所选择的期限）执行；如甲方采用其他收费方式的，本协议约定服务期限自本协议签订之日至本协议解除或终止之日止。</w:t>
            </w:r>
          </w:p>
          <w:p>
            <w:pPr>
              <w:jc w:val="left"/>
            </w:pPr>
          </w:p>
        </w:tc>
        <w:tc>
          <w:tcPr>
            <w:tcW w:w="4394" w:type="dxa"/>
            <w:vAlign w:val="top"/>
          </w:tcPr>
          <w:p>
            <w:pPr>
              <w:jc w:val="left"/>
              <w:rPr>
                <w:b/>
                <w:bCs/>
              </w:rPr>
            </w:pPr>
            <w:r>
              <w:rPr>
                <w:rFonts w:hint="eastAsia"/>
                <w:b/>
                <w:bCs/>
                <w:color w:val="FF0000"/>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t>第二十五条　甲方在签订期内可通过小方APP向乙方提出解除本协议，乙方系统确认后协议解除，在解除协议后的第二个工作日不再收取服务费用。</w:t>
            </w:r>
          </w:p>
        </w:tc>
        <w:tc>
          <w:tcPr>
            <w:tcW w:w="4394" w:type="dxa"/>
            <w:vAlign w:val="top"/>
          </w:tcPr>
          <w:p>
            <w:pPr>
              <w:jc w:val="left"/>
              <w:rPr>
                <w:b/>
                <w:bCs/>
                <w:color w:val="FF0000"/>
              </w:rPr>
            </w:pPr>
            <w:r>
              <w:rPr>
                <w:rFonts w:hint="eastAsia"/>
                <w:b/>
                <w:bCs/>
                <w:color w:val="FF0000"/>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center"/>
              <w:rPr>
                <w:b/>
                <w:bCs/>
              </w:rPr>
            </w:pPr>
            <w:r>
              <w:rPr>
                <w:b/>
                <w:bCs/>
              </w:rPr>
              <w:t>第</w:t>
            </w:r>
            <w:r>
              <w:rPr>
                <w:rFonts w:hint="eastAsia"/>
                <w:b/>
                <w:bCs/>
              </w:rPr>
              <w:t>八</w:t>
            </w:r>
            <w:r>
              <w:rPr>
                <w:b/>
                <w:bCs/>
              </w:rPr>
              <w:t>章  协议的生效、变更和终止</w:t>
            </w:r>
          </w:p>
        </w:tc>
        <w:tc>
          <w:tcPr>
            <w:tcW w:w="4394" w:type="dxa"/>
            <w:vAlign w:val="top"/>
          </w:tcPr>
          <w:p>
            <w:pPr>
              <w:jc w:val="center"/>
              <w:rPr>
                <w:b/>
                <w:bCs/>
              </w:rPr>
            </w:pPr>
            <w:r>
              <w:rPr>
                <w:b/>
                <w:bCs/>
              </w:rPr>
              <w:t>第七章  协议的生效、变更和终止</w:t>
            </w:r>
            <w:r>
              <w:rPr>
                <w:rFonts w:hint="eastAsia"/>
                <w:b/>
                <w:bCs/>
                <w:highlight w:val="yellow"/>
                <w:lang w:eastAsia="zh-CN"/>
              </w:rPr>
              <w:t>（</w:t>
            </w:r>
            <w:r>
              <w:rPr>
                <w:rFonts w:hint="eastAsia"/>
                <w:b/>
                <w:bCs/>
                <w:highlight w:val="yellow"/>
                <w:lang w:val="en-US" w:eastAsia="zh-CN"/>
              </w:rPr>
              <w:t>因删除第七章，后续章节序号递减一位</w:t>
            </w:r>
            <w:r>
              <w:rPr>
                <w:rFonts w:hint="eastAsia"/>
                <w:b/>
                <w:bCs/>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center"/>
              <w:rPr>
                <w:rFonts w:hint="eastAsia" w:eastAsia="宋体"/>
                <w:b/>
                <w:bCs/>
                <w:highlight w:val="yellow"/>
                <w:lang w:val="en-US" w:eastAsia="zh-CN"/>
              </w:rPr>
            </w:pPr>
            <w:r>
              <w:rPr>
                <w:rFonts w:hint="eastAsia"/>
                <w:b w:val="0"/>
                <w:bCs w:val="0"/>
                <w:highlight w:val="yellow"/>
                <w:lang w:val="en-US" w:eastAsia="zh-CN"/>
              </w:rPr>
              <w:t>序号变更</w:t>
            </w:r>
          </w:p>
        </w:tc>
        <w:tc>
          <w:tcPr>
            <w:tcW w:w="4394" w:type="dxa"/>
            <w:vAlign w:val="top"/>
          </w:tcPr>
          <w:p>
            <w:pPr>
              <w:jc w:val="center"/>
              <w:rPr>
                <w:rFonts w:hint="eastAsia" w:eastAsia="宋体"/>
                <w:b/>
                <w:bCs/>
                <w:highlight w:val="yellow"/>
                <w:lang w:val="en-US" w:eastAsia="zh-CN"/>
              </w:rPr>
            </w:pPr>
            <w:r>
              <w:rPr>
                <w:rFonts w:hint="eastAsia"/>
                <w:b w:val="0"/>
                <w:bCs w:val="0"/>
                <w:highlight w:val="yellow"/>
                <w:lang w:val="en-US" w:eastAsia="zh-CN"/>
              </w:rPr>
              <w:t>原第二十六条序号变更为第二十四条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p>
        </w:tc>
        <w:tc>
          <w:tcPr>
            <w:tcW w:w="4394" w:type="dxa"/>
            <w:vAlign w:val="top"/>
          </w:tcPr>
          <w:p>
            <w:pPr>
              <w:rPr>
                <w:b/>
                <w:bCs/>
                <w:color w:val="FF0000"/>
              </w:rPr>
            </w:pPr>
            <w:r>
              <w:rPr>
                <w:rFonts w:hint="eastAsia"/>
                <w:b/>
                <w:bCs/>
                <w:color w:val="FF0000"/>
              </w:rPr>
              <w:t>新增条款</w:t>
            </w:r>
          </w:p>
          <w:p>
            <w:r>
              <w:t>第二十五条　甲方采用固定收费方式的，本协议约定服务期限按双方约定的（甲方签约购买时所选择的期限）执行；如甲方采用其他收费方式的，本协议约定服务期限自本协议签订之日至本协议解除或终止之日止。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p>
        </w:tc>
        <w:tc>
          <w:tcPr>
            <w:tcW w:w="4394" w:type="dxa"/>
            <w:vAlign w:val="top"/>
          </w:tcPr>
          <w:p>
            <w:pPr>
              <w:rPr>
                <w:b/>
                <w:bCs/>
                <w:color w:val="FF0000"/>
              </w:rPr>
            </w:pPr>
            <w:r>
              <w:rPr>
                <w:rFonts w:hint="eastAsia"/>
                <w:b/>
                <w:bCs/>
                <w:color w:val="FF0000"/>
              </w:rPr>
              <w:t>新增条款</w:t>
            </w:r>
          </w:p>
          <w:p>
            <w:pPr>
              <w:jc w:val="left"/>
            </w:pPr>
            <w:r>
              <w:t>第二十六条　甲方在签订期内可通过小方APP向乙方提出解除本协议，乙方系统确认后协议解除，在解除协议后的第二个工作日不再收取服务费用；对选择固定收费方式的，须以甲方选择的收费标准，按日为单位向乙方支付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p>
        </w:tc>
        <w:tc>
          <w:tcPr>
            <w:tcW w:w="4394" w:type="dxa"/>
            <w:vAlign w:val="top"/>
          </w:tcPr>
          <w:p>
            <w:pPr>
              <w:rPr>
                <w:b/>
                <w:bCs/>
                <w:color w:val="FF0000"/>
              </w:rPr>
            </w:pPr>
            <w:r>
              <w:rPr>
                <w:rFonts w:hint="eastAsia"/>
                <w:b/>
                <w:bCs/>
                <w:color w:val="FF0000"/>
              </w:rPr>
              <w:t>新增条款</w:t>
            </w:r>
          </w:p>
          <w:p>
            <w:pPr>
              <w:jc w:val="left"/>
              <w:rPr>
                <w:b/>
                <w:bCs/>
              </w:rPr>
            </w:pPr>
            <w:r>
              <w:t>第二十七条 如果是通过账户保证金划转方式支付的，服务费退还至原账户内，如果是通过微信、支付宝等第三方支付平台支付的，12个月内退订按原支付方式退还，超过12个月退订则退还至原交易账户内。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textDirection w:val="lrTb"/>
            <w:vAlign w:val="top"/>
          </w:tcPr>
          <w:p>
            <w:pPr>
              <w:jc w:val="center"/>
            </w:pPr>
            <w:r>
              <w:rPr>
                <w:rFonts w:hint="eastAsia"/>
                <w:b w:val="0"/>
                <w:bCs w:val="0"/>
                <w:highlight w:val="yellow"/>
                <w:lang w:val="en-US" w:eastAsia="zh-CN"/>
              </w:rPr>
              <w:t>序号变更</w:t>
            </w:r>
          </w:p>
        </w:tc>
        <w:tc>
          <w:tcPr>
            <w:tcW w:w="4394" w:type="dxa"/>
            <w:textDirection w:val="lrTb"/>
            <w:vAlign w:val="top"/>
          </w:tcPr>
          <w:p>
            <w:pPr>
              <w:jc w:val="center"/>
            </w:pPr>
            <w:r>
              <w:rPr>
                <w:rFonts w:hint="eastAsia"/>
                <w:b w:val="0"/>
                <w:bCs w:val="0"/>
                <w:highlight w:val="yellow"/>
                <w:lang w:val="en-US" w:eastAsia="zh-CN"/>
              </w:rPr>
              <w:t>原第二十七条至第三十五条序号变更为第二十八条至第三十六条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rPr>
                <w:color w:val="000000"/>
              </w:rPr>
            </w:pPr>
            <w:r>
              <w:rPr>
                <w:color w:val="000000"/>
              </w:rPr>
              <w:t>第二十七条　本协议书签署生效后，若有关法律、法规、规章及行业协会规定做出修订，本协议书涉及内容及条款按新修订的法律、法规、规章及行业协会规定执行，根据新的法律、法规、规章及行业协会规定修改本协议。乙方根据法律、行政法规或其他规范性文件、交易所和中国结算业务规则以及乙方业务规则的规定，修改或增补协议内容时，修改或增补的内容在乙方网站或经营场所以公告形式通知甲方。若甲方自乙方公告之日起3个自然日内不以书面方式向乙方提出异议的，则公告内容自公告之日即成为本协议的组成部分。若甲方在3个自然日内以书面方式向乙方提出异议并提出解除本协议，甲方应按照双方约定的价格和付费方式结清本协议解除前已发生的服务费。甲方未在乙方公告之日起3个自然日内以书面方式向乙方提出异议的，视为甲方接受本协议条款的修改。</w:t>
            </w:r>
          </w:p>
        </w:tc>
        <w:tc>
          <w:tcPr>
            <w:tcW w:w="4394" w:type="dxa"/>
            <w:vAlign w:val="top"/>
          </w:tcPr>
          <w:p>
            <w:pPr>
              <w:jc w:val="left"/>
              <w:rPr>
                <w:color w:val="000000"/>
              </w:rPr>
            </w:pPr>
            <w:r>
              <w:rPr>
                <w:color w:val="000000"/>
              </w:rPr>
              <w:t>第二十八条　本协议书签署生效后，若有关法律、法规、规章及行业协会规定做出修订，本协议书涉及内容及条款按新修订的法律、法规、规章及行业协会规定执行，根据新的法律、法规、规章及行业协会规定修改本协议。乙方根据法律、行政法规或其他规范性文件、交易所和中国结算业务规则以及乙方业务规则的规定，修改或增补协议内容时，修改或增补的内容</w:t>
            </w:r>
            <w:r>
              <w:rPr>
                <w:color w:val="FF0000"/>
              </w:rPr>
              <w:t>通过乙方网站、客户端或经营场所等方式之一</w:t>
            </w:r>
            <w:r>
              <w:rPr>
                <w:color w:val="000000"/>
              </w:rPr>
              <w:t>以公告形式通知甲方。若甲方自乙方公告之日起3个自然日内不以书面方式向乙方提出异议的，则公告内容自公告之日即成为本协议的组成部分。若甲方在3个自然日内以书面方式向乙方提出异议并提出解除本协议，甲方应按照双方约定的价格和付费方式结清本协议解除前已发生的服务费。甲方未在乙方公告之日起3个自然日内以书面方式向乙方提出异议的，视为甲方接受本协议条款的修改。</w:t>
            </w:r>
          </w:p>
        </w:tc>
      </w:tr>
    </w:tbl>
    <w:p>
      <w:pPr>
        <w:jc w:val="cente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paragraph" w:styleId="3">
    <w:name w:val="Balloon Text"/>
    <w:basedOn w:val="1"/>
    <w:link w:val="7"/>
    <w:semiHidden/>
    <w:unhideWhenUsed/>
    <w:uiPriority w:val="99"/>
    <w:rPr>
      <w:rFonts w:ascii="宋体" w:eastAsia="宋体"/>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3"/>
    <w:semiHidden/>
    <w:uiPriority w:val="99"/>
    <w:rPr>
      <w:rFonts w:ascii="宋体" w:eastAsia="宋体"/>
      <w:sz w:val="18"/>
      <w:szCs w:val="18"/>
    </w:rPr>
  </w:style>
  <w:style w:type="character" w:customStyle="1" w:styleId="8">
    <w:name w:val="标题 1 字符"/>
    <w:basedOn w:val="6"/>
    <w:link w:val="2"/>
    <w:uiPriority w:val="9"/>
    <w:rPr>
      <w:b/>
      <w:bCs/>
      <w:kern w:val="44"/>
      <w:sz w:val="44"/>
      <w:szCs w:val="44"/>
    </w:rPr>
  </w:style>
  <w:style w:type="character" w:customStyle="1" w:styleId="9">
    <w:name w:val="页眉 字符"/>
    <w:basedOn w:val="6"/>
    <w:link w:val="5"/>
    <w:uiPriority w:val="99"/>
    <w:rPr>
      <w:sz w:val="18"/>
      <w:szCs w:val="18"/>
    </w:rPr>
  </w:style>
  <w:style w:type="character" w:customStyle="1" w:styleId="10">
    <w:name w:val="页脚 字符"/>
    <w:basedOn w:val="6"/>
    <w:link w:val="4"/>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235</Words>
  <Characters>1341</Characters>
  <Lines>11</Lines>
  <Paragraphs>3</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2019-10-15T08:46:00Z</dcterms:created>
  <dc:creator>smg</dc:creator>
  <cp:lastModifiedBy>Foundersc</cp:lastModifiedBy>
  <dcterms:modified xsi:type="dcterms:W3CDTF">2019-10-25T05:50:36Z</dcterms:modified>
  <dc:title>《方正证券投资顾问服务产品协议书》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